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21bis-e</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303522</w:t>
      </w:r>
    </w:p>
    <w:p>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E-meeting</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17 - 26</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April</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rPr>
        <w:t>16</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2.2</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data collection</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FS_NR_AIML_air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hint="eastAsia" w:ascii="Arial" w:hAnsi="Arial" w:cs="Arial"/>
          <w:sz w:val="20"/>
          <w:szCs w:val="20"/>
        </w:rPr>
        <w:t xml:space="preserve">In </w:t>
      </w:r>
      <w:r>
        <w:rPr>
          <w:rFonts w:hint="eastAsia" w:ascii="Arial" w:hAnsi="Arial" w:cs="Arial"/>
          <w:sz w:val="20"/>
          <w:szCs w:val="20"/>
          <w:lang w:val="en-US" w:eastAsia="zh-CN"/>
        </w:rPr>
        <w:t>last meeting[1], RAN2 discussed the existing mechanism for data collection and endorse the following table[2] as a starting point.</w:t>
      </w:r>
      <w:r>
        <w:rPr>
          <w:rFonts w:ascii="Arial" w:hAnsi="Arial" w:eastAsia="宋体" w:cs="Arial"/>
          <w:kern w:val="0"/>
          <w:sz w:val="20"/>
          <w:szCs w:val="20"/>
          <w:lang w:val="en-GB" w:eastAsia="en-US"/>
        </w:rPr>
        <w:t xml:space="preserve"> </w:t>
      </w:r>
    </w:p>
    <w:tbl>
      <w:tblPr>
        <w:tblStyle w:val="14"/>
        <w:tblpPr w:leftFromText="180" w:rightFromText="180" w:vertAnchor="text" w:horzAnchor="margin" w:tblpX="-456" w:tblpY="337"/>
        <w:tblW w:w="10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1072"/>
        <w:gridCol w:w="1017"/>
        <w:gridCol w:w="1008"/>
        <w:gridCol w:w="1157"/>
        <w:gridCol w:w="2929"/>
        <w:gridCol w:w="1137"/>
        <w:gridCol w:w="1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52" w:type="dxa"/>
          </w:tcPr>
          <w:p>
            <w:pPr>
              <w:spacing w:line="240" w:lineRule="auto"/>
              <w:rPr>
                <w:rFonts w:hint="default" w:ascii="Times New Roman" w:hAnsi="Times New Roman" w:eastAsia="MS Mincho" w:cs="Times New Roman"/>
                <w:sz w:val="15"/>
                <w:szCs w:val="16"/>
                <w:lang w:val="en-US"/>
              </w:rPr>
            </w:pPr>
          </w:p>
        </w:tc>
        <w:tc>
          <w:tcPr>
            <w:tcW w:w="1072"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eastAsia="zh-CN"/>
              </w:rPr>
              <w:t xml:space="preserve">Involved Network </w:t>
            </w:r>
            <w:r>
              <w:rPr>
                <w:rFonts w:hint="default" w:ascii="Times New Roman" w:hAnsi="Times New Roman" w:eastAsia="MS Mincho" w:cs="Times New Roman"/>
                <w:sz w:val="15"/>
                <w:szCs w:val="16"/>
                <w:lang w:val="en-US"/>
              </w:rPr>
              <w:t>entity</w:t>
            </w:r>
          </w:p>
        </w:tc>
        <w:tc>
          <w:tcPr>
            <w:tcW w:w="1017"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RRC state to generate data</w:t>
            </w:r>
          </w:p>
        </w:tc>
        <w:tc>
          <w:tcPr>
            <w:tcW w:w="1008"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Max payload size per reporting</w:t>
            </w:r>
            <w:r>
              <w:rPr>
                <w:rFonts w:hint="default" w:ascii="Times New Roman" w:hAnsi="Times New Roman" w:eastAsia="MS Mincho" w:cs="Times New Roman"/>
                <w:sz w:val="11"/>
                <w:szCs w:val="11"/>
                <w:lang w:val="en-US"/>
              </w:rPr>
              <w:t>*</w:t>
            </w:r>
          </w:p>
        </w:tc>
        <w:tc>
          <w:tcPr>
            <w:tcW w:w="1157"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Contents to be collected</w:t>
            </w:r>
          </w:p>
        </w:tc>
        <w:tc>
          <w:tcPr>
            <w:tcW w:w="2929"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End-to-End report latency**</w:t>
            </w:r>
          </w:p>
        </w:tc>
        <w:tc>
          <w:tcPr>
            <w:tcW w:w="1137"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Report type</w:t>
            </w:r>
          </w:p>
        </w:tc>
        <w:tc>
          <w:tcPr>
            <w:tcW w:w="1042"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Security and Privacy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9" w:hRule="atLeast"/>
        </w:trPr>
        <w:tc>
          <w:tcPr>
            <w:tcW w:w="852"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Logged MDT</w:t>
            </w:r>
          </w:p>
        </w:tc>
        <w:tc>
          <w:tcPr>
            <w:tcW w:w="1072" w:type="dxa"/>
          </w:tcPr>
          <w:p>
            <w:pPr>
              <w:spacing w:after="60"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TCE/OAM</w:t>
            </w:r>
          </w:p>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(It can be utilized by gNB)</w:t>
            </w:r>
          </w:p>
        </w:tc>
        <w:tc>
          <w:tcPr>
            <w:tcW w:w="1017" w:type="dxa"/>
          </w:tcPr>
          <w:p>
            <w:pPr>
              <w:spacing w:line="240" w:lineRule="auto"/>
              <w:rPr>
                <w:rFonts w:hint="default" w:ascii="Times New Roman" w:hAnsi="Times New Roman" w:eastAsia="MS Mincho" w:cs="Times New Roman"/>
                <w:color w:val="000000" w:themeColor="text1"/>
                <w:sz w:val="15"/>
                <w:szCs w:val="16"/>
                <w:lang w:val="en-US"/>
                <w14:textFill>
                  <w14:solidFill>
                    <w14:schemeClr w14:val="tx1"/>
                  </w14:solidFill>
                </w14:textFill>
              </w:rPr>
            </w:pPr>
            <w:r>
              <w:rPr>
                <w:rFonts w:hint="default" w:ascii="Times New Roman" w:hAnsi="Times New Roman" w:eastAsia="MS Mincho" w:cs="Times New Roman"/>
                <w:color w:val="000000" w:themeColor="text1"/>
                <w:sz w:val="15"/>
                <w:szCs w:val="16"/>
                <w:lang w:val="en-US"/>
                <w14:textFill>
                  <w14:solidFill>
                    <w14:schemeClr w14:val="tx1"/>
                  </w14:solidFill>
                </w14:textFill>
              </w:rPr>
              <w:t>RRC_IDLE/RRRC_INACTIVE</w:t>
            </w:r>
          </w:p>
        </w:tc>
        <w:tc>
          <w:tcPr>
            <w:tcW w:w="1008"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color w:val="000000" w:themeColor="text1"/>
                <w:sz w:val="15"/>
                <w:szCs w:val="16"/>
                <w:lang w:val="en-US"/>
                <w14:textFill>
                  <w14:solidFill>
                    <w14:schemeClr w14:val="tx1"/>
                  </w14:solidFill>
                </w14:textFill>
              </w:rPr>
              <w:t>&lt;</w:t>
            </w:r>
            <w:r>
              <w:rPr>
                <w:rFonts w:hint="default" w:ascii="Times New Roman" w:hAnsi="Times New Roman" w:eastAsia="MS Mincho" w:cs="Times New Roman"/>
                <w:sz w:val="15"/>
                <w:szCs w:val="16"/>
                <w:lang w:val="en-US"/>
              </w:rPr>
              <w:t>9kbyte</w:t>
            </w:r>
          </w:p>
        </w:tc>
        <w:tc>
          <w:tcPr>
            <w:tcW w:w="1157" w:type="dxa"/>
          </w:tcPr>
          <w:p>
            <w:pPr>
              <w:spacing w:after="60"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L3 cell/beam measurements, location info, sensor info,</w:t>
            </w:r>
          </w:p>
          <w:p>
            <w:pPr>
              <w:spacing w:after="60"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timing info</w:t>
            </w:r>
          </w:p>
        </w:tc>
        <w:tc>
          <w:tcPr>
            <w:tcW w:w="2929" w:type="dxa"/>
          </w:tcPr>
          <w:p>
            <w:pPr>
              <w:pStyle w:val="22"/>
              <w:numPr>
                <w:ilvl w:val="0"/>
                <w:numId w:val="6"/>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Procedure latency***:</w:t>
            </w:r>
          </w:p>
          <w:p>
            <w:pPr>
              <w:pStyle w:val="22"/>
              <w:numPr>
                <w:ilvl w:val="1"/>
                <w:numId w:val="6"/>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Latency to enter CONNECTED state</w:t>
            </w:r>
          </w:p>
          <w:p>
            <w:pPr>
              <w:pStyle w:val="22"/>
              <w:numPr>
                <w:ilvl w:val="1"/>
                <w:numId w:val="6"/>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Latency to receive gNB request signaling (~20ms)</w:t>
            </w:r>
          </w:p>
          <w:p>
            <w:pPr>
              <w:pStyle w:val="22"/>
              <w:numPr>
                <w:ilvl w:val="0"/>
                <w:numId w:val="6"/>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 xml:space="preserve">Air interface signaling latency****: </w:t>
            </w:r>
          </w:p>
          <w:p>
            <w:pPr>
              <w:pStyle w:val="22"/>
              <w:numPr>
                <w:ilvl w:val="1"/>
                <w:numId w:val="6"/>
              </w:numPr>
              <w:spacing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~20ms (RRC)</w:t>
            </w:r>
          </w:p>
          <w:p>
            <w:pPr>
              <w:pStyle w:val="22"/>
              <w:numPr>
                <w:ilvl w:val="0"/>
                <w:numId w:val="6"/>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Other latency:</w:t>
            </w:r>
          </w:p>
          <w:p>
            <w:pPr>
              <w:pStyle w:val="22"/>
              <w:numPr>
                <w:ilvl w:val="1"/>
                <w:numId w:val="6"/>
              </w:numPr>
              <w:spacing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Forwarding latency between gNB and TCE</w:t>
            </w:r>
          </w:p>
        </w:tc>
        <w:tc>
          <w:tcPr>
            <w:tcW w:w="1137" w:type="dxa"/>
          </w:tcPr>
          <w:p>
            <w:pPr>
              <w:spacing w:after="60"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Upon gNB request after entering RRC_CONNECTED</w:t>
            </w:r>
          </w:p>
        </w:tc>
        <w:tc>
          <w:tcPr>
            <w:tcW w:w="1042" w:type="dxa"/>
          </w:tcPr>
          <w:p>
            <w:pPr>
              <w:spacing w:after="60"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AS security via RRC message,</w:t>
            </w:r>
          </w:p>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 xml:space="preserve">Privacy via user consent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5" w:hRule="atLeast"/>
        </w:trPr>
        <w:tc>
          <w:tcPr>
            <w:tcW w:w="852"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Immediate MDT</w:t>
            </w:r>
          </w:p>
        </w:tc>
        <w:tc>
          <w:tcPr>
            <w:tcW w:w="1072" w:type="dxa"/>
          </w:tcPr>
          <w:p>
            <w:pPr>
              <w:spacing w:after="60"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TCE/OAM</w:t>
            </w:r>
          </w:p>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(It can be utilized by gNB)</w:t>
            </w:r>
          </w:p>
        </w:tc>
        <w:tc>
          <w:tcPr>
            <w:tcW w:w="1017" w:type="dxa"/>
          </w:tcPr>
          <w:p>
            <w:pPr>
              <w:spacing w:line="240" w:lineRule="auto"/>
              <w:rPr>
                <w:rFonts w:hint="default" w:ascii="Times New Roman" w:hAnsi="Times New Roman" w:eastAsia="MS Mincho" w:cs="Times New Roman"/>
                <w:color w:val="000000" w:themeColor="text1"/>
                <w:sz w:val="15"/>
                <w:szCs w:val="16"/>
                <w:lang w:val="en-US"/>
                <w14:textFill>
                  <w14:solidFill>
                    <w14:schemeClr w14:val="tx1"/>
                  </w14:solidFill>
                </w14:textFill>
              </w:rPr>
            </w:pPr>
            <w:r>
              <w:rPr>
                <w:rFonts w:hint="default" w:ascii="Times New Roman" w:hAnsi="Times New Roman" w:eastAsia="MS Mincho" w:cs="Times New Roman"/>
                <w:color w:val="000000" w:themeColor="text1"/>
                <w:sz w:val="15"/>
                <w:szCs w:val="16"/>
                <w:lang w:val="en-US"/>
                <w14:textFill>
                  <w14:solidFill>
                    <w14:schemeClr w14:val="tx1"/>
                  </w14:solidFill>
                </w14:textFill>
              </w:rPr>
              <w:t>RRC_CONNECTED</w:t>
            </w:r>
          </w:p>
        </w:tc>
        <w:tc>
          <w:tcPr>
            <w:tcW w:w="1008"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color w:val="000000" w:themeColor="text1"/>
                <w:sz w:val="15"/>
                <w:szCs w:val="16"/>
                <w:lang w:val="en-US"/>
                <w14:textFill>
                  <w14:solidFill>
                    <w14:schemeClr w14:val="tx1"/>
                  </w14:solidFill>
                </w14:textFill>
              </w:rPr>
              <w:t>&lt;</w:t>
            </w:r>
            <w:r>
              <w:rPr>
                <w:rFonts w:hint="default" w:ascii="Times New Roman" w:hAnsi="Times New Roman" w:eastAsia="MS Mincho" w:cs="Times New Roman"/>
                <w:sz w:val="15"/>
                <w:szCs w:val="16"/>
                <w:lang w:val="en-US"/>
              </w:rPr>
              <w:t>9kbyte</w:t>
            </w:r>
          </w:p>
        </w:tc>
        <w:tc>
          <w:tcPr>
            <w:tcW w:w="1157"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L3 cell/beam measurements, location info, sensor info</w:t>
            </w:r>
          </w:p>
        </w:tc>
        <w:tc>
          <w:tcPr>
            <w:tcW w:w="2929" w:type="dxa"/>
          </w:tcPr>
          <w:p>
            <w:pPr>
              <w:pStyle w:val="22"/>
              <w:numPr>
                <w:ilvl w:val="0"/>
                <w:numId w:val="7"/>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Procedure latency:</w:t>
            </w:r>
          </w:p>
          <w:p>
            <w:pPr>
              <w:pStyle w:val="22"/>
              <w:numPr>
                <w:ilvl w:val="1"/>
                <w:numId w:val="6"/>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 xml:space="preserve">Report interval: </w:t>
            </w:r>
          </w:p>
          <w:p>
            <w:pPr>
              <w:pStyle w:val="22"/>
              <w:numPr>
                <w:ilvl w:val="2"/>
                <w:numId w:val="8"/>
              </w:numPr>
              <w:spacing w:after="60" w:line="240" w:lineRule="auto"/>
              <w:ind w:left="984"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l20ms~30min for periodic report</w:t>
            </w:r>
          </w:p>
          <w:p>
            <w:pPr>
              <w:pStyle w:val="22"/>
              <w:numPr>
                <w:ilvl w:val="2"/>
                <w:numId w:val="8"/>
              </w:numPr>
              <w:spacing w:after="60" w:line="240" w:lineRule="auto"/>
              <w:ind w:left="984"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TTT for event triggered report</w:t>
            </w:r>
          </w:p>
          <w:p>
            <w:pPr>
              <w:pStyle w:val="22"/>
              <w:numPr>
                <w:ilvl w:val="0"/>
                <w:numId w:val="7"/>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Air interface signaling latency:</w:t>
            </w:r>
          </w:p>
          <w:p>
            <w:pPr>
              <w:pStyle w:val="22"/>
              <w:numPr>
                <w:ilvl w:val="1"/>
                <w:numId w:val="6"/>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~20ms (RRC)</w:t>
            </w:r>
          </w:p>
          <w:p>
            <w:pPr>
              <w:pStyle w:val="22"/>
              <w:numPr>
                <w:ilvl w:val="0"/>
                <w:numId w:val="7"/>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Other latency:</w:t>
            </w:r>
          </w:p>
          <w:p>
            <w:pPr>
              <w:pStyle w:val="22"/>
              <w:numPr>
                <w:ilvl w:val="1"/>
                <w:numId w:val="6"/>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 xml:space="preserve">Forwarding latency between gNB and TCE   </w:t>
            </w:r>
          </w:p>
        </w:tc>
        <w:tc>
          <w:tcPr>
            <w:tcW w:w="1137" w:type="dxa"/>
          </w:tcPr>
          <w:p>
            <w:pPr>
              <w:spacing w:after="60"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Event triggered report,</w:t>
            </w:r>
          </w:p>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Periodic reporting</w:t>
            </w:r>
          </w:p>
        </w:tc>
        <w:tc>
          <w:tcPr>
            <w:tcW w:w="1042" w:type="dxa"/>
          </w:tcPr>
          <w:p>
            <w:pPr>
              <w:spacing w:after="60"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AS security via RRC message,</w:t>
            </w:r>
          </w:p>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Privacy via user consent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852"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L3 measurements</w:t>
            </w:r>
          </w:p>
        </w:tc>
        <w:tc>
          <w:tcPr>
            <w:tcW w:w="1072"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gNB</w:t>
            </w:r>
          </w:p>
        </w:tc>
        <w:tc>
          <w:tcPr>
            <w:tcW w:w="1017" w:type="dxa"/>
          </w:tcPr>
          <w:p>
            <w:pPr>
              <w:spacing w:line="240" w:lineRule="auto"/>
              <w:rPr>
                <w:rFonts w:hint="default" w:ascii="Times New Roman" w:hAnsi="Times New Roman" w:eastAsia="MS Mincho" w:cs="Times New Roman"/>
                <w:color w:val="000000" w:themeColor="text1"/>
                <w:sz w:val="15"/>
                <w:szCs w:val="16"/>
                <w:lang w:val="en-US"/>
                <w14:textFill>
                  <w14:solidFill>
                    <w14:schemeClr w14:val="tx1"/>
                  </w14:solidFill>
                </w14:textFill>
              </w:rPr>
            </w:pPr>
            <w:r>
              <w:rPr>
                <w:rFonts w:hint="default" w:ascii="Times New Roman" w:hAnsi="Times New Roman" w:eastAsia="MS Mincho" w:cs="Times New Roman"/>
                <w:color w:val="000000" w:themeColor="text1"/>
                <w:sz w:val="15"/>
                <w:szCs w:val="16"/>
                <w:lang w:val="en-US"/>
                <w14:textFill>
                  <w14:solidFill>
                    <w14:schemeClr w14:val="tx1"/>
                  </w14:solidFill>
                </w14:textFill>
              </w:rPr>
              <w:t>RRC_CONNECTED</w:t>
            </w:r>
          </w:p>
        </w:tc>
        <w:tc>
          <w:tcPr>
            <w:tcW w:w="1008"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color w:val="000000" w:themeColor="text1"/>
                <w:sz w:val="15"/>
                <w:szCs w:val="16"/>
                <w:lang w:val="en-US"/>
                <w14:textFill>
                  <w14:solidFill>
                    <w14:schemeClr w14:val="tx1"/>
                  </w14:solidFill>
                </w14:textFill>
              </w:rPr>
              <w:t>&lt;</w:t>
            </w:r>
            <w:r>
              <w:rPr>
                <w:rFonts w:hint="default" w:ascii="Times New Roman" w:hAnsi="Times New Roman" w:eastAsia="MS Mincho" w:cs="Times New Roman"/>
                <w:sz w:val="15"/>
                <w:szCs w:val="16"/>
                <w:lang w:val="en-US"/>
              </w:rPr>
              <w:t>9kbyte</w:t>
            </w:r>
          </w:p>
        </w:tc>
        <w:tc>
          <w:tcPr>
            <w:tcW w:w="1157"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L3 cell/beam measurements</w:t>
            </w:r>
          </w:p>
        </w:tc>
        <w:tc>
          <w:tcPr>
            <w:tcW w:w="2929" w:type="dxa"/>
          </w:tcPr>
          <w:p>
            <w:pPr>
              <w:pStyle w:val="22"/>
              <w:numPr>
                <w:ilvl w:val="0"/>
                <w:numId w:val="9"/>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Procedure latency:</w:t>
            </w:r>
          </w:p>
          <w:p>
            <w:pPr>
              <w:pStyle w:val="22"/>
              <w:numPr>
                <w:ilvl w:val="1"/>
                <w:numId w:val="6"/>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 xml:space="preserve">Report interval: </w:t>
            </w:r>
          </w:p>
          <w:p>
            <w:pPr>
              <w:pStyle w:val="22"/>
              <w:numPr>
                <w:ilvl w:val="2"/>
                <w:numId w:val="8"/>
              </w:numPr>
              <w:spacing w:after="60" w:line="240" w:lineRule="auto"/>
              <w:ind w:left="984"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l20ms~30min for periodic report</w:t>
            </w:r>
          </w:p>
          <w:p>
            <w:pPr>
              <w:pStyle w:val="22"/>
              <w:numPr>
                <w:ilvl w:val="2"/>
                <w:numId w:val="8"/>
              </w:numPr>
              <w:spacing w:after="60" w:line="240" w:lineRule="auto"/>
              <w:ind w:left="984"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TTT for event triggered report</w:t>
            </w:r>
          </w:p>
          <w:p>
            <w:pPr>
              <w:pStyle w:val="22"/>
              <w:numPr>
                <w:ilvl w:val="0"/>
                <w:numId w:val="9"/>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Air interface signaling latency:</w:t>
            </w:r>
          </w:p>
          <w:p>
            <w:pPr>
              <w:pStyle w:val="22"/>
              <w:numPr>
                <w:ilvl w:val="1"/>
                <w:numId w:val="6"/>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20ms (RRC)</w:t>
            </w:r>
          </w:p>
        </w:tc>
        <w:tc>
          <w:tcPr>
            <w:tcW w:w="1137" w:type="dxa"/>
          </w:tcPr>
          <w:p>
            <w:pPr>
              <w:spacing w:after="60"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Event triggered report,</w:t>
            </w:r>
          </w:p>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Periodic reporting</w:t>
            </w:r>
          </w:p>
        </w:tc>
        <w:tc>
          <w:tcPr>
            <w:tcW w:w="1042"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AS security via RRC message.</w:t>
            </w:r>
          </w:p>
          <w:p>
            <w:pPr>
              <w:spacing w:line="240" w:lineRule="auto"/>
              <w:rPr>
                <w:rFonts w:hint="default" w:ascii="Times New Roman" w:hAnsi="Times New Roman" w:eastAsia="MS Mincho" w:cs="Times New Roman"/>
                <w:sz w:val="15"/>
                <w:szCs w:val="1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852"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L1 measurement (CSI reporting)</w:t>
            </w:r>
          </w:p>
        </w:tc>
        <w:tc>
          <w:tcPr>
            <w:tcW w:w="1072"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gNB</w:t>
            </w:r>
          </w:p>
        </w:tc>
        <w:tc>
          <w:tcPr>
            <w:tcW w:w="1017" w:type="dxa"/>
          </w:tcPr>
          <w:p>
            <w:pPr>
              <w:spacing w:after="60"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color w:val="000000" w:themeColor="text1"/>
                <w:sz w:val="15"/>
                <w:szCs w:val="16"/>
                <w:lang w:val="en-US"/>
                <w14:textFill>
                  <w14:solidFill>
                    <w14:schemeClr w14:val="tx1"/>
                  </w14:solidFill>
                </w14:textFill>
              </w:rPr>
              <w:t>RRC_CONNECTED</w:t>
            </w:r>
          </w:p>
        </w:tc>
        <w:tc>
          <w:tcPr>
            <w:tcW w:w="1008" w:type="dxa"/>
          </w:tcPr>
          <w:p>
            <w:pPr>
              <w:spacing w:after="60"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 xml:space="preserve">&lt;1706bit in PUCCH, </w:t>
            </w:r>
          </w:p>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&lt;3840bit in PUSCH</w:t>
            </w:r>
          </w:p>
        </w:tc>
        <w:tc>
          <w:tcPr>
            <w:tcW w:w="1157" w:type="dxa"/>
          </w:tcPr>
          <w:p>
            <w:pPr>
              <w:spacing w:after="60"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L1 CSI measurement</w:t>
            </w:r>
          </w:p>
        </w:tc>
        <w:tc>
          <w:tcPr>
            <w:tcW w:w="2929" w:type="dxa"/>
          </w:tcPr>
          <w:p>
            <w:pPr>
              <w:pStyle w:val="22"/>
              <w:numPr>
                <w:ilvl w:val="0"/>
                <w:numId w:val="10"/>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Procedure latency:</w:t>
            </w:r>
          </w:p>
          <w:p>
            <w:pPr>
              <w:pStyle w:val="22"/>
              <w:numPr>
                <w:ilvl w:val="1"/>
                <w:numId w:val="6"/>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 xml:space="preserve">Report interval: </w:t>
            </w:r>
          </w:p>
          <w:p>
            <w:pPr>
              <w:pStyle w:val="22"/>
              <w:numPr>
                <w:ilvl w:val="2"/>
                <w:numId w:val="8"/>
              </w:numPr>
              <w:spacing w:after="60" w:line="240" w:lineRule="auto"/>
              <w:ind w:left="984"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 xml:space="preserve">4-320 slot for periodic report and semi-persistent report </w:t>
            </w:r>
          </w:p>
          <w:p>
            <w:pPr>
              <w:pStyle w:val="22"/>
              <w:numPr>
                <w:ilvl w:val="2"/>
                <w:numId w:val="8"/>
              </w:numPr>
              <w:spacing w:after="60" w:line="240" w:lineRule="auto"/>
              <w:ind w:left="984"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 xml:space="preserve">0-32 slot after reception of DCI for aperiodic report </w:t>
            </w:r>
          </w:p>
          <w:p>
            <w:pPr>
              <w:pStyle w:val="22"/>
              <w:numPr>
                <w:ilvl w:val="0"/>
                <w:numId w:val="10"/>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Air interface signaling latency:</w:t>
            </w:r>
          </w:p>
          <w:p>
            <w:pPr>
              <w:pStyle w:val="22"/>
              <w:numPr>
                <w:ilvl w:val="1"/>
                <w:numId w:val="10"/>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 xml:space="preserve">1 TTI (PUCCH) </w:t>
            </w:r>
          </w:p>
        </w:tc>
        <w:tc>
          <w:tcPr>
            <w:tcW w:w="1137" w:type="dxa"/>
          </w:tcPr>
          <w:p>
            <w:pPr>
              <w:spacing w:after="60"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Aperiodic report,</w:t>
            </w:r>
          </w:p>
          <w:p>
            <w:pPr>
              <w:spacing w:after="60"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Semi-persistent report,</w:t>
            </w:r>
          </w:p>
          <w:p>
            <w:pPr>
              <w:spacing w:after="60"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Periodic report</w:t>
            </w:r>
          </w:p>
        </w:tc>
        <w:tc>
          <w:tcPr>
            <w:tcW w:w="1042"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No AS security</w:t>
            </w:r>
          </w:p>
          <w:p>
            <w:pPr>
              <w:spacing w:line="240" w:lineRule="auto"/>
              <w:rPr>
                <w:rFonts w:hint="default" w:ascii="Times New Roman" w:hAnsi="Times New Roman" w:eastAsia="MS Mincho" w:cs="Times New Roman"/>
                <w:sz w:val="15"/>
                <w:szCs w:val="1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852"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UAI</w:t>
            </w:r>
          </w:p>
        </w:tc>
        <w:tc>
          <w:tcPr>
            <w:tcW w:w="1072"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gNB</w:t>
            </w:r>
          </w:p>
        </w:tc>
        <w:tc>
          <w:tcPr>
            <w:tcW w:w="1017" w:type="dxa"/>
          </w:tcPr>
          <w:p>
            <w:pPr>
              <w:spacing w:line="240" w:lineRule="auto"/>
              <w:rPr>
                <w:rFonts w:hint="default" w:ascii="Times New Roman" w:hAnsi="Times New Roman" w:eastAsia="MS Mincho" w:cs="Times New Roman"/>
                <w:color w:val="000000" w:themeColor="text1"/>
                <w:sz w:val="15"/>
                <w:szCs w:val="16"/>
                <w:lang w:val="en-US"/>
                <w14:textFill>
                  <w14:solidFill>
                    <w14:schemeClr w14:val="tx1"/>
                  </w14:solidFill>
                </w14:textFill>
              </w:rPr>
            </w:pPr>
            <w:r>
              <w:rPr>
                <w:rFonts w:hint="default" w:ascii="Times New Roman" w:hAnsi="Times New Roman" w:eastAsia="MS Mincho" w:cs="Times New Roman"/>
                <w:color w:val="000000" w:themeColor="text1"/>
                <w:sz w:val="15"/>
                <w:szCs w:val="16"/>
                <w:lang w:val="en-US"/>
                <w14:textFill>
                  <w14:solidFill>
                    <w14:schemeClr w14:val="tx1"/>
                  </w14:solidFill>
                </w14:textFill>
              </w:rPr>
              <w:t>RRC_CONNECTED</w:t>
            </w:r>
          </w:p>
        </w:tc>
        <w:tc>
          <w:tcPr>
            <w:tcW w:w="1008"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color w:val="000000" w:themeColor="text1"/>
                <w:sz w:val="15"/>
                <w:szCs w:val="16"/>
                <w:lang w:val="en-US"/>
                <w14:textFill>
                  <w14:solidFill>
                    <w14:schemeClr w14:val="tx1"/>
                  </w14:solidFill>
                </w14:textFill>
              </w:rPr>
              <w:t>&lt;</w:t>
            </w:r>
            <w:r>
              <w:rPr>
                <w:rFonts w:hint="default" w:ascii="Times New Roman" w:hAnsi="Times New Roman" w:eastAsia="MS Mincho" w:cs="Times New Roman"/>
                <w:sz w:val="15"/>
                <w:szCs w:val="16"/>
                <w:lang w:val="en-US"/>
              </w:rPr>
              <w:t>9kbyte</w:t>
            </w:r>
          </w:p>
        </w:tc>
        <w:tc>
          <w:tcPr>
            <w:tcW w:w="1157" w:type="dxa"/>
          </w:tcPr>
          <w:p>
            <w:pPr>
              <w:spacing w:after="60"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Assistance information to show UE preference</w:t>
            </w:r>
          </w:p>
        </w:tc>
        <w:tc>
          <w:tcPr>
            <w:tcW w:w="2929" w:type="dxa"/>
          </w:tcPr>
          <w:p>
            <w:pPr>
              <w:pStyle w:val="22"/>
              <w:numPr>
                <w:ilvl w:val="0"/>
                <w:numId w:val="11"/>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Procedure latency:</w:t>
            </w:r>
          </w:p>
          <w:p>
            <w:pPr>
              <w:pStyle w:val="22"/>
              <w:numPr>
                <w:ilvl w:val="1"/>
                <w:numId w:val="11"/>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Upon generation of UE's preference</w:t>
            </w:r>
          </w:p>
          <w:p>
            <w:pPr>
              <w:pStyle w:val="22"/>
              <w:numPr>
                <w:ilvl w:val="0"/>
                <w:numId w:val="11"/>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Air interface signaling latency:</w:t>
            </w:r>
          </w:p>
          <w:p>
            <w:pPr>
              <w:pStyle w:val="22"/>
              <w:numPr>
                <w:ilvl w:val="1"/>
                <w:numId w:val="11"/>
              </w:numPr>
              <w:spacing w:after="60" w:line="240" w:lineRule="auto"/>
              <w:ind w:firstLineChars="0"/>
              <w:rPr>
                <w:rFonts w:hint="default" w:ascii="Times New Roman" w:hAnsi="Times New Roman" w:cs="Times New Roman"/>
                <w:sz w:val="15"/>
                <w:szCs w:val="16"/>
                <w:lang w:val="en-US"/>
              </w:rPr>
            </w:pPr>
            <w:r>
              <w:rPr>
                <w:rFonts w:hint="default" w:ascii="Times New Roman" w:hAnsi="Times New Roman" w:eastAsia="MS Mincho" w:cs="Times New Roman"/>
                <w:sz w:val="15"/>
                <w:szCs w:val="16"/>
                <w:lang w:val="en-US"/>
              </w:rPr>
              <w:t>~20ms (RRC)</w:t>
            </w:r>
          </w:p>
        </w:tc>
        <w:tc>
          <w:tcPr>
            <w:tcW w:w="1137"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Up to UE implementation when to report</w:t>
            </w:r>
          </w:p>
        </w:tc>
        <w:tc>
          <w:tcPr>
            <w:tcW w:w="1042"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AS security via RRC message</w:t>
            </w:r>
          </w:p>
          <w:p>
            <w:pPr>
              <w:spacing w:line="240" w:lineRule="auto"/>
              <w:rPr>
                <w:rFonts w:hint="default" w:ascii="Times New Roman" w:hAnsi="Times New Roman" w:eastAsia="MS Mincho" w:cs="Times New Roman"/>
                <w:sz w:val="15"/>
                <w:szCs w:val="1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tcW w:w="852"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Early measurements</w:t>
            </w:r>
          </w:p>
        </w:tc>
        <w:tc>
          <w:tcPr>
            <w:tcW w:w="1072"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gNB</w:t>
            </w:r>
          </w:p>
        </w:tc>
        <w:tc>
          <w:tcPr>
            <w:tcW w:w="1017" w:type="dxa"/>
          </w:tcPr>
          <w:p>
            <w:pPr>
              <w:spacing w:line="240" w:lineRule="auto"/>
              <w:rPr>
                <w:rFonts w:hint="default" w:ascii="Times New Roman" w:hAnsi="Times New Roman" w:eastAsia="MS Mincho" w:cs="Times New Roman"/>
                <w:color w:val="000000" w:themeColor="text1"/>
                <w:sz w:val="15"/>
                <w:szCs w:val="16"/>
                <w:lang w:val="en-US"/>
                <w14:textFill>
                  <w14:solidFill>
                    <w14:schemeClr w14:val="tx1"/>
                  </w14:solidFill>
                </w14:textFill>
              </w:rPr>
            </w:pPr>
            <w:r>
              <w:rPr>
                <w:rFonts w:hint="default" w:ascii="Times New Roman" w:hAnsi="Times New Roman" w:eastAsia="MS Mincho" w:cs="Times New Roman"/>
                <w:color w:val="000000" w:themeColor="text1"/>
                <w:sz w:val="15"/>
                <w:szCs w:val="16"/>
                <w:lang w:val="en-US"/>
                <w14:textFill>
                  <w14:solidFill>
                    <w14:schemeClr w14:val="tx1"/>
                  </w14:solidFill>
                </w14:textFill>
              </w:rPr>
              <w:t>RRC_IDLE/RRC_INACTIVE</w:t>
            </w:r>
          </w:p>
        </w:tc>
        <w:tc>
          <w:tcPr>
            <w:tcW w:w="1008"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color w:val="000000" w:themeColor="text1"/>
                <w:sz w:val="15"/>
                <w:szCs w:val="16"/>
                <w:lang w:val="en-US"/>
                <w14:textFill>
                  <w14:solidFill>
                    <w14:schemeClr w14:val="tx1"/>
                  </w14:solidFill>
                </w14:textFill>
              </w:rPr>
              <w:t>&lt;</w:t>
            </w:r>
            <w:r>
              <w:rPr>
                <w:rFonts w:hint="default" w:ascii="Times New Roman" w:hAnsi="Times New Roman" w:eastAsia="MS Mincho" w:cs="Times New Roman"/>
                <w:sz w:val="15"/>
                <w:szCs w:val="16"/>
                <w:lang w:val="en-US"/>
              </w:rPr>
              <w:t>9kbyte</w:t>
            </w:r>
          </w:p>
        </w:tc>
        <w:tc>
          <w:tcPr>
            <w:tcW w:w="1157" w:type="dxa"/>
          </w:tcPr>
          <w:p>
            <w:pPr>
              <w:spacing w:after="60"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L3 cell/beam measurements</w:t>
            </w:r>
          </w:p>
        </w:tc>
        <w:tc>
          <w:tcPr>
            <w:tcW w:w="2929" w:type="dxa"/>
          </w:tcPr>
          <w:p>
            <w:pPr>
              <w:pStyle w:val="22"/>
              <w:numPr>
                <w:ilvl w:val="0"/>
                <w:numId w:val="12"/>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Procedure latency:</w:t>
            </w:r>
          </w:p>
          <w:p>
            <w:pPr>
              <w:pStyle w:val="22"/>
              <w:numPr>
                <w:ilvl w:val="1"/>
                <w:numId w:val="12"/>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Latency to enter CONNECTED state</w:t>
            </w:r>
          </w:p>
          <w:p>
            <w:pPr>
              <w:pStyle w:val="22"/>
              <w:numPr>
                <w:ilvl w:val="1"/>
                <w:numId w:val="12"/>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Latency to receive gNB request signaling (~20ms)</w:t>
            </w:r>
          </w:p>
          <w:p>
            <w:pPr>
              <w:pStyle w:val="22"/>
              <w:numPr>
                <w:ilvl w:val="0"/>
                <w:numId w:val="12"/>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 xml:space="preserve">Air interface signaling latency: </w:t>
            </w:r>
          </w:p>
          <w:p>
            <w:pPr>
              <w:pStyle w:val="22"/>
              <w:numPr>
                <w:ilvl w:val="1"/>
                <w:numId w:val="12"/>
              </w:numPr>
              <w:spacing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~20ms (RRC)</w:t>
            </w:r>
          </w:p>
        </w:tc>
        <w:tc>
          <w:tcPr>
            <w:tcW w:w="1137"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Upon gNB request after entering RRC_CONNECTED</w:t>
            </w:r>
          </w:p>
        </w:tc>
        <w:tc>
          <w:tcPr>
            <w:tcW w:w="1042"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AS security via RRC message</w:t>
            </w:r>
          </w:p>
          <w:p>
            <w:pPr>
              <w:spacing w:line="240" w:lineRule="auto"/>
              <w:rPr>
                <w:rFonts w:hint="default" w:ascii="Times New Roman" w:hAnsi="Times New Roman" w:eastAsia="MS Mincho" w:cs="Times New Roman"/>
                <w:sz w:val="15"/>
                <w:szCs w:val="1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5" w:hRule="atLeast"/>
        </w:trPr>
        <w:tc>
          <w:tcPr>
            <w:tcW w:w="852"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LPP</w:t>
            </w:r>
          </w:p>
        </w:tc>
        <w:tc>
          <w:tcPr>
            <w:tcW w:w="1072" w:type="dxa"/>
          </w:tcPr>
          <w:p>
            <w:pPr>
              <w:spacing w:line="240" w:lineRule="auto"/>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LMF</w:t>
            </w:r>
          </w:p>
        </w:tc>
        <w:tc>
          <w:tcPr>
            <w:tcW w:w="1017" w:type="dxa"/>
          </w:tcPr>
          <w:p>
            <w:pPr>
              <w:spacing w:line="240" w:lineRule="auto"/>
              <w:rPr>
                <w:rFonts w:hint="default" w:ascii="Times New Roman" w:hAnsi="Times New Roman" w:eastAsia="MS Mincho" w:cs="Times New Roman"/>
                <w:color w:val="000000" w:themeColor="text1"/>
                <w:sz w:val="15"/>
                <w:szCs w:val="16"/>
                <w:lang w:val="en-US"/>
                <w14:textFill>
                  <w14:solidFill>
                    <w14:schemeClr w14:val="tx1"/>
                  </w14:solidFill>
                </w14:textFill>
              </w:rPr>
            </w:pPr>
            <w:r>
              <w:rPr>
                <w:rFonts w:hint="default" w:ascii="Times New Roman" w:hAnsi="Times New Roman" w:eastAsia="MS Mincho" w:cs="Times New Roman"/>
                <w:color w:val="000000" w:themeColor="text1"/>
                <w:sz w:val="15"/>
                <w:szCs w:val="16"/>
                <w:lang w:val="en-US"/>
                <w14:textFill>
                  <w14:solidFill>
                    <w14:schemeClr w14:val="tx1"/>
                  </w14:solidFill>
                </w14:textFill>
              </w:rPr>
              <w:t>RRC_CONNECTED</w:t>
            </w:r>
          </w:p>
        </w:tc>
        <w:tc>
          <w:tcPr>
            <w:tcW w:w="1008" w:type="dxa"/>
          </w:tcPr>
          <w:p>
            <w:pPr>
              <w:spacing w:line="240" w:lineRule="auto"/>
              <w:rPr>
                <w:rFonts w:hint="default" w:ascii="Times New Roman" w:hAnsi="Times New Roman" w:eastAsia="MS Mincho" w:cs="Times New Roman"/>
                <w:color w:val="000000" w:themeColor="text1"/>
                <w:sz w:val="15"/>
                <w:szCs w:val="16"/>
                <w:lang w:val="en-US"/>
                <w14:textFill>
                  <w14:solidFill>
                    <w14:schemeClr w14:val="tx1"/>
                  </w14:solidFill>
                </w14:textFill>
              </w:rPr>
            </w:pPr>
            <w:r>
              <w:rPr>
                <w:rFonts w:hint="default" w:ascii="Times New Roman" w:hAnsi="Times New Roman" w:eastAsia="MS Mincho" w:cs="Times New Roman"/>
                <w:color w:val="000000" w:themeColor="text1"/>
                <w:sz w:val="15"/>
                <w:szCs w:val="16"/>
                <w:lang w:val="en-US"/>
                <w14:textFill>
                  <w14:solidFill>
                    <w14:schemeClr w14:val="tx1"/>
                  </w14:solidFill>
                </w14:textFill>
              </w:rPr>
              <w:t>&lt;</w:t>
            </w:r>
            <w:r>
              <w:rPr>
                <w:rFonts w:hint="default" w:ascii="Times New Roman" w:hAnsi="Times New Roman" w:eastAsia="MS Mincho" w:cs="Times New Roman"/>
                <w:sz w:val="15"/>
                <w:szCs w:val="16"/>
                <w:lang w:val="en-US"/>
              </w:rPr>
              <w:t>9kbyte</w:t>
            </w:r>
          </w:p>
        </w:tc>
        <w:tc>
          <w:tcPr>
            <w:tcW w:w="1157" w:type="dxa"/>
          </w:tcPr>
          <w:p>
            <w:pPr>
              <w:spacing w:after="60" w:line="240" w:lineRule="auto"/>
              <w:rPr>
                <w:rFonts w:hint="default" w:ascii="Times New Roman" w:hAnsi="Times New Roman" w:eastAsia="MS Mincho" w:cs="Times New Roman"/>
                <w:color w:val="000000" w:themeColor="text1"/>
                <w:sz w:val="15"/>
                <w:szCs w:val="16"/>
                <w:lang w:val="en-US"/>
                <w14:textFill>
                  <w14:solidFill>
                    <w14:schemeClr w14:val="tx1"/>
                  </w14:solidFill>
                </w14:textFill>
              </w:rPr>
            </w:pPr>
            <w:r>
              <w:rPr>
                <w:rFonts w:hint="default" w:ascii="Times New Roman" w:hAnsi="Times New Roman" w:eastAsia="MS Mincho" w:cs="Times New Roman"/>
                <w:color w:val="000000" w:themeColor="text1"/>
                <w:sz w:val="15"/>
                <w:szCs w:val="16"/>
                <w:lang w:val="en-US"/>
                <w14:textFill>
                  <w14:solidFill>
                    <w14:schemeClr w14:val="tx1"/>
                  </w14:solidFill>
                </w14:textFill>
              </w:rPr>
              <w:t>Location info</w:t>
            </w:r>
          </w:p>
        </w:tc>
        <w:tc>
          <w:tcPr>
            <w:tcW w:w="2929" w:type="dxa"/>
          </w:tcPr>
          <w:p>
            <w:pPr>
              <w:pStyle w:val="22"/>
              <w:numPr>
                <w:ilvl w:val="0"/>
                <w:numId w:val="13"/>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Procedure latency:</w:t>
            </w:r>
          </w:p>
          <w:p>
            <w:pPr>
              <w:pStyle w:val="22"/>
              <w:numPr>
                <w:ilvl w:val="1"/>
                <w:numId w:val="13"/>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Latency to get upper layer trigger (for UE triggered)</w:t>
            </w:r>
          </w:p>
          <w:p>
            <w:pPr>
              <w:pStyle w:val="22"/>
              <w:numPr>
                <w:ilvl w:val="1"/>
                <w:numId w:val="13"/>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Or latency to receive NW request message (~20ms)</w:t>
            </w:r>
          </w:p>
          <w:p>
            <w:pPr>
              <w:pStyle w:val="22"/>
              <w:numPr>
                <w:ilvl w:val="0"/>
                <w:numId w:val="13"/>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 xml:space="preserve">Air interface signaling latency: </w:t>
            </w:r>
          </w:p>
          <w:p>
            <w:pPr>
              <w:pStyle w:val="22"/>
              <w:numPr>
                <w:ilvl w:val="1"/>
                <w:numId w:val="13"/>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~20ms (RRC)</w:t>
            </w:r>
          </w:p>
          <w:p>
            <w:pPr>
              <w:pStyle w:val="22"/>
              <w:numPr>
                <w:ilvl w:val="0"/>
                <w:numId w:val="13"/>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Other latency:</w:t>
            </w:r>
          </w:p>
          <w:p>
            <w:pPr>
              <w:pStyle w:val="22"/>
              <w:numPr>
                <w:ilvl w:val="1"/>
                <w:numId w:val="13"/>
              </w:numPr>
              <w:spacing w:after="60" w:line="240" w:lineRule="auto"/>
              <w:ind w:firstLineChars="0"/>
              <w:rPr>
                <w:rFonts w:hint="default" w:ascii="Times New Roman" w:hAnsi="Times New Roman" w:eastAsia="MS Mincho" w:cs="Times New Roman"/>
                <w:sz w:val="15"/>
                <w:szCs w:val="16"/>
                <w:lang w:val="en-US"/>
              </w:rPr>
            </w:pPr>
            <w:r>
              <w:rPr>
                <w:rFonts w:hint="default" w:ascii="Times New Roman" w:hAnsi="Times New Roman" w:eastAsia="MS Mincho" w:cs="Times New Roman"/>
                <w:sz w:val="15"/>
                <w:szCs w:val="16"/>
                <w:lang w:val="en-US"/>
              </w:rPr>
              <w:t>Forwarding latency between gNB and LMF</w:t>
            </w:r>
          </w:p>
        </w:tc>
        <w:tc>
          <w:tcPr>
            <w:tcW w:w="1137" w:type="dxa"/>
          </w:tcPr>
          <w:p>
            <w:pPr>
              <w:spacing w:line="240" w:lineRule="auto"/>
              <w:rPr>
                <w:rFonts w:hint="default" w:ascii="Times New Roman" w:hAnsi="Times New Roman" w:eastAsia="MS Mincho" w:cs="Times New Roman"/>
                <w:color w:val="000000" w:themeColor="text1"/>
                <w:sz w:val="15"/>
                <w:szCs w:val="16"/>
                <w:lang w:val="en-US"/>
                <w14:textFill>
                  <w14:solidFill>
                    <w14:schemeClr w14:val="tx1"/>
                  </w14:solidFill>
                </w14:textFill>
              </w:rPr>
            </w:pPr>
            <w:r>
              <w:rPr>
                <w:rFonts w:hint="default" w:ascii="Times New Roman" w:hAnsi="Times New Roman" w:eastAsia="MS Mincho" w:cs="Times New Roman"/>
                <w:color w:val="000000" w:themeColor="text1"/>
                <w:sz w:val="15"/>
                <w:szCs w:val="16"/>
                <w:lang w:val="en-US"/>
                <w14:textFill>
                  <w14:solidFill>
                    <w14:schemeClr w14:val="tx1"/>
                  </w14:solidFill>
                </w14:textFill>
              </w:rPr>
              <w:t>UE-triggered,</w:t>
            </w:r>
          </w:p>
          <w:p>
            <w:pPr>
              <w:spacing w:line="240" w:lineRule="auto"/>
              <w:rPr>
                <w:rFonts w:hint="default" w:ascii="Times New Roman" w:hAnsi="Times New Roman" w:eastAsia="MS Mincho" w:cs="Times New Roman"/>
                <w:color w:val="000000" w:themeColor="text1"/>
                <w:sz w:val="15"/>
                <w:szCs w:val="16"/>
                <w:lang w:val="en-US"/>
                <w14:textFill>
                  <w14:solidFill>
                    <w14:schemeClr w14:val="tx1"/>
                  </w14:solidFill>
                </w14:textFill>
              </w:rPr>
            </w:pPr>
            <w:r>
              <w:rPr>
                <w:rFonts w:hint="default" w:ascii="Times New Roman" w:hAnsi="Times New Roman" w:eastAsia="MS Mincho" w:cs="Times New Roman"/>
                <w:color w:val="000000" w:themeColor="text1"/>
                <w:sz w:val="15"/>
                <w:szCs w:val="16"/>
                <w:lang w:val="en-US"/>
                <w14:textFill>
                  <w14:solidFill>
                    <w14:schemeClr w14:val="tx1"/>
                  </w14:solidFill>
                </w14:textFill>
              </w:rPr>
              <w:t>NW-triggered</w:t>
            </w:r>
          </w:p>
        </w:tc>
        <w:tc>
          <w:tcPr>
            <w:tcW w:w="1042" w:type="dxa"/>
          </w:tcPr>
          <w:p>
            <w:pPr>
              <w:spacing w:line="240" w:lineRule="auto"/>
              <w:rPr>
                <w:rFonts w:hint="default" w:ascii="Times New Roman" w:hAnsi="Times New Roman" w:eastAsia="MS Mincho" w:cs="Times New Roman"/>
                <w:color w:val="000000" w:themeColor="text1"/>
                <w:sz w:val="15"/>
                <w:szCs w:val="16"/>
                <w:lang w:val="en-US"/>
                <w14:textFill>
                  <w14:solidFill>
                    <w14:schemeClr w14:val="tx1"/>
                  </w14:solidFill>
                </w14:textFill>
              </w:rPr>
            </w:pPr>
            <w:r>
              <w:rPr>
                <w:rFonts w:hint="default" w:ascii="Times New Roman" w:hAnsi="Times New Roman" w:eastAsia="MS Mincho" w:cs="Times New Roman"/>
                <w:color w:val="000000" w:themeColor="text1"/>
                <w:sz w:val="15"/>
                <w:szCs w:val="16"/>
                <w:lang w:val="en-US"/>
                <w14:textFill>
                  <w14:solidFill>
                    <w14:schemeClr w14:val="tx1"/>
                  </w14:solidFill>
                </w14:textFill>
              </w:rPr>
              <w:t>AS security via RRC message</w:t>
            </w:r>
          </w:p>
          <w:p>
            <w:pPr>
              <w:spacing w:line="240" w:lineRule="auto"/>
              <w:rPr>
                <w:rFonts w:hint="default" w:ascii="Times New Roman" w:hAnsi="Times New Roman" w:eastAsia="MS Mincho" w:cs="Times New Roman"/>
                <w:color w:val="000000" w:themeColor="text1"/>
                <w:sz w:val="15"/>
                <w:szCs w:val="16"/>
                <w:lang w:val="en-US"/>
                <w14:textFill>
                  <w14:solidFill>
                    <w14:schemeClr w14:val="tx1"/>
                  </w14:solidFill>
                </w14:textFill>
              </w:rPr>
            </w:pPr>
          </w:p>
        </w:tc>
      </w:tr>
    </w:tbl>
    <w:p>
      <w:pPr>
        <w:pStyle w:val="6"/>
        <w:rPr>
          <w:rFonts w:hint="default" w:ascii="Times New Roman" w:hAnsi="Times New Roman" w:cs="Times New Roman"/>
          <w:b w:val="0"/>
          <w:bCs w:val="0"/>
          <w:color w:val="auto"/>
          <w:sz w:val="18"/>
          <w:szCs w:val="20"/>
          <w:lang w:eastAsia="zh-CN"/>
        </w:rPr>
      </w:pPr>
      <w:r>
        <w:rPr>
          <w:rFonts w:hint="default" w:ascii="Times New Roman" w:hAnsi="Times New Roman" w:cs="Times New Roman"/>
          <w:b w:val="0"/>
          <w:bCs w:val="0"/>
          <w:color w:val="auto"/>
          <w:sz w:val="18"/>
          <w:szCs w:val="20"/>
          <w:lang w:eastAsia="zh-CN"/>
        </w:rPr>
        <w:t>Note:</w:t>
      </w:r>
    </w:p>
    <w:p>
      <w:pPr>
        <w:pStyle w:val="6"/>
        <w:rPr>
          <w:rFonts w:hint="default" w:ascii="Times New Roman" w:hAnsi="Times New Roman" w:cs="Times New Roman"/>
          <w:b w:val="0"/>
          <w:bCs w:val="0"/>
          <w:color w:val="auto"/>
          <w:sz w:val="18"/>
          <w:szCs w:val="20"/>
          <w:lang w:eastAsia="zh-CN"/>
        </w:rPr>
      </w:pPr>
      <w:r>
        <w:rPr>
          <w:rFonts w:hint="default" w:ascii="Times New Roman" w:hAnsi="Times New Roman" w:cs="Times New Roman"/>
          <w:b w:val="0"/>
          <w:bCs w:val="0"/>
          <w:color w:val="auto"/>
          <w:sz w:val="18"/>
          <w:szCs w:val="20"/>
          <w:lang w:eastAsia="zh-CN"/>
        </w:rPr>
        <w:t>* The payload size doesn't consider signaling overhead.</w:t>
      </w:r>
    </w:p>
    <w:p>
      <w:pPr>
        <w:rPr>
          <w:rFonts w:hint="default" w:ascii="Times New Roman" w:hAnsi="Times New Roman" w:cs="Times New Roman" w:eastAsiaTheme="minorEastAsia"/>
          <w:bCs/>
          <w:sz w:val="18"/>
          <w:szCs w:val="20"/>
          <w:lang w:eastAsia="zh-CN"/>
        </w:rPr>
      </w:pPr>
      <w:r>
        <w:rPr>
          <w:rFonts w:hint="default" w:ascii="Times New Roman" w:hAnsi="Times New Roman" w:cs="Times New Roman"/>
          <w:sz w:val="18"/>
          <w:szCs w:val="20"/>
          <w:lang w:eastAsia="zh-CN"/>
        </w:rPr>
        <w:t xml:space="preserve">** </w:t>
      </w:r>
      <w:r>
        <w:rPr>
          <w:rFonts w:hint="default" w:ascii="Times New Roman" w:hAnsi="Times New Roman" w:cs="Times New Roman" w:eastAsiaTheme="minorEastAsia"/>
          <w:bCs/>
          <w:sz w:val="18"/>
          <w:szCs w:val="20"/>
          <w:lang w:eastAsia="zh-CN"/>
        </w:rPr>
        <w:t>The End-to-End report latency is the latency from availability of the measurement report at the UE side to the availability of the measurement report at the terminated network entity. The time to generate data or perform measurements depends on RAN1/RAN4 specification.</w:t>
      </w:r>
    </w:p>
    <w:p>
      <w:pPr>
        <w:rPr>
          <w:rFonts w:hint="default" w:ascii="Times New Roman" w:hAnsi="Times New Roman" w:cs="Times New Roman" w:eastAsiaTheme="minorEastAsia"/>
          <w:bCs/>
          <w:sz w:val="18"/>
          <w:szCs w:val="20"/>
          <w:lang w:eastAsia="zh-CN"/>
        </w:rPr>
      </w:pPr>
      <w:r>
        <w:rPr>
          <w:rFonts w:hint="default" w:ascii="Times New Roman" w:hAnsi="Times New Roman" w:cs="Times New Roman" w:eastAsiaTheme="minorEastAsia"/>
          <w:bCs/>
          <w:sz w:val="18"/>
          <w:szCs w:val="20"/>
          <w:lang w:eastAsia="zh-CN"/>
        </w:rPr>
        <w:t xml:space="preserve">*** </w:t>
      </w:r>
      <w:r>
        <w:rPr>
          <w:rFonts w:hint="default" w:ascii="Times New Roman" w:hAnsi="Times New Roman" w:cs="Times New Roman"/>
          <w:sz w:val="18"/>
          <w:szCs w:val="20"/>
        </w:rPr>
        <w:t>Procedure latency</w:t>
      </w:r>
      <w:r>
        <w:rPr>
          <w:rFonts w:hint="default" w:ascii="Times New Roman" w:hAnsi="Times New Roman" w:cs="Times New Roman" w:eastAsiaTheme="minorEastAsia"/>
          <w:bCs/>
          <w:sz w:val="18"/>
          <w:szCs w:val="20"/>
          <w:lang w:eastAsia="zh-CN"/>
        </w:rPr>
        <w:t xml:space="preserve"> is the latency caused by procedures, including procedure to ready for reporting (e.g. entering CONNECTED state, report interval)</w:t>
      </w:r>
    </w:p>
    <w:p>
      <w:pPr>
        <w:widowControl/>
        <w:spacing w:after="180"/>
        <w:rPr>
          <w:rFonts w:hint="default" w:ascii="Times New Roman" w:hAnsi="Times New Roman" w:eastAsia="宋体" w:cs="Times New Roman"/>
          <w:kern w:val="0"/>
          <w:sz w:val="16"/>
          <w:szCs w:val="16"/>
          <w:lang w:val="en-GB" w:eastAsia="en-US"/>
        </w:rPr>
      </w:pPr>
      <w:r>
        <w:rPr>
          <w:rFonts w:hint="default" w:ascii="Times New Roman" w:hAnsi="Times New Roman" w:cs="Times New Roman" w:eastAsiaTheme="minorEastAsia"/>
          <w:bCs/>
          <w:sz w:val="18"/>
          <w:szCs w:val="20"/>
          <w:lang w:eastAsia="zh-CN"/>
        </w:rPr>
        <w:t xml:space="preserve">****Air interface signaling latency is the latency to transmit one report, e.g. RRC signaling latency or PUCCH signaling latency.  </w:t>
      </w:r>
    </w:p>
    <w:p>
      <w:pPr>
        <w:widowControl/>
        <w:spacing w:before="120" w:beforeLines="50" w:after="180"/>
        <w:rPr>
          <w:rFonts w:ascii="Arial" w:hAnsi="Arial" w:eastAsia="宋体" w:cs="Arial"/>
          <w:kern w:val="0"/>
          <w:szCs w:val="21"/>
          <w:lang w:val="en-GB"/>
        </w:rPr>
      </w:pPr>
      <w:r>
        <w:rPr>
          <w:rFonts w:hint="eastAsia" w:ascii="Arial" w:hAnsi="Arial" w:eastAsia="宋体" w:cs="Arial"/>
          <w:kern w:val="0"/>
          <w:sz w:val="20"/>
          <w:szCs w:val="20"/>
          <w:lang w:val="en-US" w:eastAsia="zh-CN"/>
        </w:rPr>
        <w:t>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lang w:val="en-US" w:eastAsia="zh-CN"/>
        </w:rPr>
        <w:t xml:space="preserve">will </w:t>
      </w:r>
      <w:r>
        <w:rPr>
          <w:rFonts w:hint="eastAsia" w:ascii="Arial" w:hAnsi="Arial" w:eastAsia="宋体" w:cs="Arial"/>
          <w:kern w:val="0"/>
          <w:sz w:val="20"/>
          <w:szCs w:val="20"/>
        </w:rPr>
        <w:t xml:space="preserve">discuss </w:t>
      </w:r>
      <w:r>
        <w:rPr>
          <w:rFonts w:hint="eastAsia" w:ascii="Arial" w:hAnsi="Arial" w:eastAsia="宋体" w:cs="Arial"/>
          <w:kern w:val="0"/>
          <w:sz w:val="20"/>
          <w:szCs w:val="20"/>
          <w:lang w:val="en-US" w:eastAsia="zh-CN"/>
        </w:rPr>
        <w:t>the requirements on data collection for different LCM procedures per sub-use case</w:t>
      </w:r>
      <w:r>
        <w:rPr>
          <w:rFonts w:ascii="Arial" w:hAnsi="Arial" w:eastAsia="宋体" w:cs="Arial"/>
          <w:kern w:val="0"/>
          <w:sz w:val="20"/>
          <w:szCs w:val="20"/>
          <w:lang w:val="en-GB"/>
        </w:rPr>
        <w:t>.</w:t>
      </w:r>
    </w:p>
    <w:p>
      <w:pPr>
        <w:keepNext/>
        <w:keepLines/>
        <w:widowControl/>
        <w:numPr>
          <w:ilvl w:val="0"/>
          <w:numId w:val="14"/>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pPr>
        <w:widowControl/>
        <w:spacing w:after="180"/>
        <w:outlineLvl w:val="1"/>
        <w:rPr>
          <w:rFonts w:hint="default" w:ascii="Arial" w:hAnsi="Arial" w:eastAsia="宋体" w:cs="Arial"/>
          <w:kern w:val="0"/>
          <w:sz w:val="32"/>
          <w:szCs w:val="18"/>
          <w:lang w:val="en-US" w:eastAsia="zh-CN"/>
        </w:rPr>
      </w:pPr>
      <w:r>
        <w:rPr>
          <w:rFonts w:hint="eastAsia" w:ascii="Arial" w:hAnsi="Arial" w:eastAsia="宋体" w:cs="Arial"/>
          <w:kern w:val="0"/>
          <w:sz w:val="32"/>
          <w:szCs w:val="18"/>
        </w:rPr>
        <w:t xml:space="preserve">2.1 </w:t>
      </w:r>
      <w:r>
        <w:rPr>
          <w:rFonts w:hint="eastAsia" w:ascii="Arial" w:hAnsi="Arial" w:eastAsia="宋体" w:cs="Arial"/>
          <w:kern w:val="0"/>
          <w:sz w:val="32"/>
          <w:szCs w:val="18"/>
          <w:lang w:val="en-US" w:eastAsia="zh-CN"/>
        </w:rPr>
        <w:t>General principle</w:t>
      </w:r>
    </w:p>
    <w:p>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As shown in the above table, RRC state to generate data is listed for existing data collection frameworks. In current studied use cases (i.e. CSI feedback enhancement, beam management and positioning accuracy enhancement), only RRC_CONNECTED UEs are within the target of SI. However, for logged MDT and early measurement, UE only performs the measurement and stores the measurement results in RRC_IDLE/RRC_INACTIVE state. In addition, the UE is not expected to perform frequent measurement since power saving is a key requirement for UE in idle/inactive state. </w:t>
      </w:r>
    </w:p>
    <w:p>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Therefore, we prefer to further study the frameworks which support data collection in RRC_CONNECTED and de-prioritize the frameworks performed in RRC_IDLE/RRC_INACTIVE state.</w:t>
      </w:r>
    </w:p>
    <w:p>
      <w:pPr>
        <w:spacing w:before="120" w:beforeLines="50" w:after="120" w:line="260" w:lineRule="exact"/>
        <w:rPr>
          <w:rFonts w:ascii="Arial" w:hAnsi="Arial" w:cs="Arial" w:eastAsiaTheme="minorEastAsia"/>
          <w:b/>
          <w:sz w:val="20"/>
          <w:szCs w:val="20"/>
          <w:lang w:val="en-GB" w:eastAsia="zh-CN"/>
        </w:rPr>
      </w:pPr>
      <w:r>
        <w:rPr>
          <w:rFonts w:ascii="Arial" w:hAnsi="Arial" w:cs="Arial" w:eastAsiaTheme="minorEastAsia"/>
          <w:b/>
          <w:sz w:val="20"/>
          <w:szCs w:val="20"/>
          <w:lang w:val="en-GB" w:eastAsia="zh-CN"/>
        </w:rPr>
        <w:t xml:space="preserve">Proposal </w:t>
      </w:r>
      <w:r>
        <w:rPr>
          <w:rFonts w:hint="eastAsia" w:ascii="Arial" w:hAnsi="Arial" w:cs="Arial"/>
          <w:b/>
          <w:sz w:val="20"/>
          <w:szCs w:val="20"/>
          <w:lang w:val="en-US" w:eastAsia="zh-CN"/>
        </w:rPr>
        <w:t>1</w:t>
      </w:r>
      <w:r>
        <w:rPr>
          <w:rFonts w:ascii="Arial" w:hAnsi="Arial" w:cs="Arial" w:eastAsiaTheme="minorEastAsia"/>
          <w:b/>
          <w:sz w:val="20"/>
          <w:szCs w:val="20"/>
          <w:lang w:val="en-GB" w:eastAsia="zh-CN"/>
        </w:rPr>
        <w:t xml:space="preserve">: </w:t>
      </w:r>
      <w:r>
        <w:rPr>
          <w:rFonts w:hint="eastAsia" w:ascii="Arial" w:hAnsi="Arial" w:cs="Arial"/>
          <w:b/>
          <w:sz w:val="20"/>
          <w:szCs w:val="20"/>
          <w:lang w:val="en-US" w:eastAsia="zh-CN"/>
        </w:rPr>
        <w:t>RAN2 prioritize t</w:t>
      </w:r>
      <w:r>
        <w:rPr>
          <w:rFonts w:ascii="Arial" w:hAnsi="Arial" w:cs="Arial" w:eastAsiaTheme="minorEastAsia"/>
          <w:b/>
          <w:sz w:val="20"/>
          <w:szCs w:val="20"/>
          <w:lang w:val="en-GB" w:eastAsia="zh-CN"/>
        </w:rPr>
        <w:t xml:space="preserve">he frameworks </w:t>
      </w:r>
      <w:r>
        <w:rPr>
          <w:rFonts w:hint="eastAsia" w:ascii="Arial" w:hAnsi="Arial" w:cs="Arial"/>
          <w:b/>
          <w:sz w:val="20"/>
          <w:szCs w:val="20"/>
          <w:lang w:val="en-US" w:eastAsia="zh-CN"/>
        </w:rPr>
        <w:t xml:space="preserve">which </w:t>
      </w:r>
      <w:r>
        <w:rPr>
          <w:rFonts w:ascii="Arial" w:hAnsi="Arial" w:cs="Arial" w:eastAsiaTheme="minorEastAsia"/>
          <w:b/>
          <w:sz w:val="20"/>
          <w:szCs w:val="20"/>
          <w:lang w:val="en-GB" w:eastAsia="zh-CN"/>
        </w:rPr>
        <w:t>support data collection in RRC_CONNECTED</w:t>
      </w:r>
      <w:r>
        <w:rPr>
          <w:rFonts w:hint="eastAsia" w:ascii="Arial" w:hAnsi="Arial" w:cs="Arial"/>
          <w:b/>
          <w:sz w:val="20"/>
          <w:szCs w:val="20"/>
          <w:lang w:val="en-US" w:eastAsia="zh-CN"/>
        </w:rPr>
        <w:t xml:space="preserve"> state</w:t>
      </w:r>
      <w:r>
        <w:rPr>
          <w:rFonts w:ascii="Arial" w:hAnsi="Arial" w:cs="Arial" w:eastAsiaTheme="minorEastAsia"/>
          <w:b/>
          <w:sz w:val="20"/>
          <w:szCs w:val="20"/>
          <w:lang w:val="en-GB" w:eastAsia="zh-CN"/>
        </w:rPr>
        <w:t>.</w:t>
      </w:r>
    </w:p>
    <w:p>
      <w:pPr>
        <w:spacing w:before="120" w:beforeLines="50" w:after="120" w:line="260" w:lineRule="exact"/>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During the previous discussion, the common understanding is that </w:t>
      </w:r>
      <w:r>
        <w:rPr>
          <w:rFonts w:hint="eastAsia" w:ascii="Arial" w:hAnsi="Arial" w:cs="Arial" w:eastAsiaTheme="minorEastAsia"/>
          <w:b w:val="0"/>
          <w:bCs/>
          <w:sz w:val="20"/>
          <w:szCs w:val="20"/>
          <w:lang w:val="en-GB" w:eastAsia="en-US"/>
        </w:rPr>
        <w:t xml:space="preserve">data collection requirements for </w:t>
      </w:r>
      <w:r>
        <w:rPr>
          <w:rFonts w:hint="eastAsia" w:ascii="Arial" w:hAnsi="Arial" w:cs="Arial"/>
          <w:b w:val="0"/>
          <w:bCs/>
          <w:sz w:val="20"/>
          <w:szCs w:val="20"/>
          <w:lang w:val="en-US" w:eastAsia="zh-CN"/>
        </w:rPr>
        <w:t xml:space="preserve">model </w:t>
      </w:r>
      <w:r>
        <w:rPr>
          <w:rFonts w:hint="eastAsia" w:ascii="Arial" w:hAnsi="Arial" w:cs="Arial" w:eastAsiaTheme="minorEastAsia"/>
          <w:b w:val="0"/>
          <w:bCs/>
          <w:sz w:val="20"/>
          <w:szCs w:val="20"/>
          <w:lang w:val="en-GB" w:eastAsia="en-US"/>
        </w:rPr>
        <w:t>training, inference</w:t>
      </w:r>
      <w:r>
        <w:rPr>
          <w:rFonts w:hint="eastAsia" w:ascii="Arial" w:hAnsi="Arial" w:cs="Arial"/>
          <w:b w:val="0"/>
          <w:bCs/>
          <w:sz w:val="20"/>
          <w:szCs w:val="20"/>
          <w:lang w:val="en-US" w:eastAsia="zh-CN"/>
        </w:rPr>
        <w:t>,</w:t>
      </w:r>
      <w:r>
        <w:rPr>
          <w:rFonts w:hint="eastAsia" w:ascii="Arial" w:hAnsi="Arial" w:cs="Arial" w:eastAsiaTheme="minorEastAsia"/>
          <w:b w:val="0"/>
          <w:bCs/>
          <w:sz w:val="20"/>
          <w:szCs w:val="20"/>
          <w:lang w:val="en-GB" w:eastAsia="en-US"/>
        </w:rPr>
        <w:t xml:space="preserve"> monitoring will be different.</w:t>
      </w:r>
      <w:r>
        <w:rPr>
          <w:rFonts w:hint="eastAsia" w:ascii="Arial" w:hAnsi="Arial" w:cs="Arial"/>
          <w:b w:val="0"/>
          <w:bCs/>
          <w:sz w:val="20"/>
          <w:szCs w:val="20"/>
          <w:lang w:val="en-US" w:eastAsia="zh-CN"/>
        </w:rPr>
        <w:t xml:space="preserve"> For example, large size data is required for model training while small size data for model inference, and the latency is a key requirement for model inference/online training but not for offline training.</w:t>
      </w:r>
    </w:p>
    <w:p>
      <w:pPr>
        <w:spacing w:before="120" w:beforeLines="50" w:after="120" w:line="260" w:lineRule="exact"/>
        <w:rPr>
          <w:rFonts w:hint="default" w:ascii="Arial" w:hAnsi="Arial" w:cs="Arial"/>
          <w:b/>
          <w:bCs w:val="0"/>
          <w:sz w:val="20"/>
          <w:szCs w:val="20"/>
          <w:lang w:val="en-US" w:eastAsia="zh-CN"/>
        </w:rPr>
      </w:pPr>
      <w:r>
        <w:rPr>
          <w:rFonts w:hint="eastAsia" w:ascii="Arial" w:hAnsi="Arial" w:cs="Arial"/>
          <w:b/>
          <w:bCs w:val="0"/>
          <w:sz w:val="20"/>
          <w:szCs w:val="20"/>
          <w:lang w:val="en-US" w:eastAsia="zh-CN"/>
        </w:rPr>
        <w:t>Observation 1: The requirements on data collection for model training, model inference and model monitoring are different, and should be discussed separately.</w:t>
      </w:r>
    </w:p>
    <w:p>
      <w:pPr>
        <w:spacing w:before="120" w:beforeLines="50" w:after="120" w:line="260" w:lineRule="exact"/>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For the details on the content of data (e.g ground-truth label, other training data), data size, latency requirements for each use case, RAN1 also discussed separately and we can wait for RAN1 progress. </w:t>
      </w:r>
    </w:p>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2: For the details on the content of data, data size, latency requirements per use case, RAN2 can wait for RAN1 progress.</w:t>
      </w:r>
    </w:p>
    <w:p>
      <w:pPr>
        <w:widowControl/>
        <w:spacing w:after="180"/>
        <w:outlineLvl w:val="1"/>
        <w:rPr>
          <w:rFonts w:hint="eastAsia" w:ascii="Arial" w:hAnsi="Arial" w:eastAsia="宋体" w:cs="Arial"/>
          <w:kern w:val="0"/>
          <w:sz w:val="32"/>
          <w:szCs w:val="18"/>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2</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Data collection for model training</w:t>
      </w:r>
    </w:p>
    <w:p>
      <w:pPr>
        <w:spacing w:before="120" w:beforeLines="50" w:after="120" w:line="260" w:lineRule="exact"/>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Based on RAN1 working assumption, the requirements on data collecction for offline training and online training are also different, especially on latency. Online training means the model used for inference is (typically continuously) trained in (near) real-time, while offline training means the trained model can be later used or delivered for inference. </w:t>
      </w:r>
    </w:p>
    <w:p>
      <w:pPr>
        <w:rPr>
          <w:rFonts w:hint="default" w:ascii="Times New Roman" w:hAnsi="Times New Roman" w:eastAsia="等线" w:cs="Times New Roman"/>
          <w:iCs/>
          <w:sz w:val="20"/>
          <w:szCs w:val="20"/>
          <w:highlight w:val="darkYellow"/>
          <w:lang w:eastAsia="zh-CN"/>
        </w:rPr>
      </w:pPr>
      <w:r>
        <w:rPr>
          <w:rFonts w:hint="default" w:ascii="Times New Roman" w:hAnsi="Times New Roman" w:eastAsia="等线" w:cs="Times New Roman"/>
          <w:iCs/>
          <w:sz w:val="20"/>
          <w:szCs w:val="20"/>
          <w:highlight w:val="darkYellow"/>
          <w:lang w:val="en-US" w:eastAsia="zh-CN"/>
        </w:rPr>
        <w:t xml:space="preserve">RAN1 </w:t>
      </w:r>
      <w:r>
        <w:rPr>
          <w:rFonts w:hint="default" w:ascii="Times New Roman" w:hAnsi="Times New Roman" w:eastAsia="等线" w:cs="Times New Roman"/>
          <w:iCs/>
          <w:sz w:val="20"/>
          <w:szCs w:val="20"/>
          <w:highlight w:val="darkYellow"/>
          <w:lang w:eastAsia="zh-CN"/>
        </w:rPr>
        <w:t>Working Assumption</w:t>
      </w:r>
    </w:p>
    <w:tbl>
      <w:tblPr>
        <w:tblStyle w:val="13"/>
        <w:tblW w:w="0" w:type="auto"/>
        <w:tblInd w:w="111" w:type="dxa"/>
        <w:tblLayout w:type="fixed"/>
        <w:tblCellMar>
          <w:top w:w="0" w:type="dxa"/>
          <w:left w:w="108" w:type="dxa"/>
          <w:bottom w:w="0" w:type="dxa"/>
          <w:right w:w="108" w:type="dxa"/>
        </w:tblCellMar>
      </w:tblPr>
      <w:tblGrid>
        <w:gridCol w:w="1396"/>
        <w:gridCol w:w="8210"/>
      </w:tblGrid>
      <w:tr>
        <w:tblPrEx>
          <w:tblCellMar>
            <w:top w:w="0" w:type="dxa"/>
            <w:left w:w="108" w:type="dxa"/>
            <w:bottom w:w="0" w:type="dxa"/>
            <w:right w:w="108" w:type="dxa"/>
          </w:tblCellMar>
        </w:tblPrEx>
        <w:tc>
          <w:tcPr>
            <w:tcW w:w="1396" w:type="dxa"/>
            <w:tcBorders>
              <w:top w:val="single" w:color="auto" w:sz="8" w:space="0"/>
              <w:left w:val="single" w:color="auto" w:sz="8" w:space="0"/>
              <w:bottom w:val="single" w:color="auto" w:sz="8" w:space="0"/>
              <w:right w:val="single" w:color="auto" w:sz="8" w:space="0"/>
            </w:tcBorders>
            <w:noWrap w:val="0"/>
            <w:vAlign w:val="top"/>
          </w:tcPr>
          <w:p>
            <w:pPr>
              <w:rPr>
                <w:rFonts w:hint="default" w:ascii="Times New Roman" w:hAnsi="Times New Roman" w:cs="Times New Roman"/>
                <w:sz w:val="20"/>
                <w:szCs w:val="20"/>
              </w:rPr>
            </w:pPr>
            <w:r>
              <w:rPr>
                <w:rFonts w:hint="default" w:ascii="Times New Roman" w:hAnsi="Times New Roman" w:eastAsia="Times" w:cs="Times New Roman"/>
                <w:sz w:val="20"/>
                <w:szCs w:val="20"/>
              </w:rPr>
              <w:t>Terminology</w:t>
            </w:r>
          </w:p>
        </w:tc>
        <w:tc>
          <w:tcPr>
            <w:tcW w:w="8210" w:type="dxa"/>
            <w:tcBorders>
              <w:top w:val="single" w:color="auto" w:sz="8" w:space="0"/>
              <w:left w:val="single" w:color="auto" w:sz="8" w:space="0"/>
              <w:bottom w:val="single" w:color="auto" w:sz="8" w:space="0"/>
              <w:right w:val="single" w:color="auto" w:sz="8" w:space="0"/>
            </w:tcBorders>
            <w:noWrap w:val="0"/>
            <w:vAlign w:val="top"/>
          </w:tcPr>
          <w:p>
            <w:pPr>
              <w:rPr>
                <w:rFonts w:hint="default" w:ascii="Times New Roman" w:hAnsi="Times New Roman" w:cs="Times New Roman"/>
                <w:sz w:val="20"/>
                <w:szCs w:val="20"/>
              </w:rPr>
            </w:pPr>
            <w:r>
              <w:rPr>
                <w:rFonts w:hint="default" w:ascii="Times New Roman" w:hAnsi="Times New Roman" w:eastAsia="Times" w:cs="Times New Roman"/>
                <w:sz w:val="20"/>
                <w:szCs w:val="20"/>
              </w:rPr>
              <w:t>Description</w:t>
            </w:r>
          </w:p>
        </w:tc>
      </w:tr>
      <w:tr>
        <w:tblPrEx>
          <w:tblCellMar>
            <w:top w:w="0" w:type="dxa"/>
            <w:left w:w="108" w:type="dxa"/>
            <w:bottom w:w="0" w:type="dxa"/>
            <w:right w:w="108" w:type="dxa"/>
          </w:tblCellMar>
        </w:tblPrEx>
        <w:tc>
          <w:tcPr>
            <w:tcW w:w="1396" w:type="dxa"/>
            <w:tcBorders>
              <w:top w:val="single" w:color="auto" w:sz="8" w:space="0"/>
              <w:left w:val="single" w:color="auto" w:sz="8" w:space="0"/>
              <w:bottom w:val="single" w:color="auto" w:sz="8" w:space="0"/>
              <w:right w:val="single" w:color="auto" w:sz="8" w:space="0"/>
            </w:tcBorders>
            <w:noWrap w:val="0"/>
            <w:vAlign w:val="top"/>
          </w:tcPr>
          <w:p>
            <w:pPr>
              <w:rPr>
                <w:rFonts w:hint="default" w:ascii="Times New Roman" w:hAnsi="Times New Roman" w:cs="Times New Roman"/>
                <w:sz w:val="20"/>
                <w:szCs w:val="20"/>
              </w:rPr>
            </w:pPr>
            <w:r>
              <w:rPr>
                <w:rFonts w:hint="default" w:ascii="Times New Roman" w:hAnsi="Times New Roman" w:cs="Times New Roman"/>
                <w:sz w:val="20"/>
                <w:szCs w:val="20"/>
              </w:rPr>
              <w:t>Online training</w:t>
            </w:r>
          </w:p>
        </w:tc>
        <w:tc>
          <w:tcPr>
            <w:tcW w:w="8210" w:type="dxa"/>
            <w:tcBorders>
              <w:top w:val="single" w:color="auto" w:sz="8" w:space="0"/>
              <w:left w:val="single" w:color="auto" w:sz="8" w:space="0"/>
              <w:bottom w:val="single" w:color="auto" w:sz="8" w:space="0"/>
              <w:right w:val="single" w:color="auto" w:sz="8" w:space="0"/>
            </w:tcBorders>
            <w:noWrap w:val="0"/>
            <w:vAlign w:val="top"/>
          </w:tcPr>
          <w:p>
            <w:pPr>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An AI/ML training process where the model being used for inference) is (typically continuously) trained in (near) real-time with the arrival of new training samples. </w:t>
            </w:r>
          </w:p>
          <w:p>
            <w:pPr>
              <w:rPr>
                <w:rFonts w:hint="default" w:ascii="Times New Roman" w:hAnsi="Times New Roman" w:cs="Times New Roman"/>
                <w:sz w:val="20"/>
                <w:szCs w:val="20"/>
              </w:rPr>
            </w:pPr>
            <w:r>
              <w:rPr>
                <w:rFonts w:hint="default" w:ascii="Times New Roman" w:hAnsi="Times New Roman" w:cs="Times New Roman"/>
                <w:sz w:val="20"/>
                <w:szCs w:val="20"/>
              </w:rPr>
              <w:t>Note: the notion of (near) real-time vs. non real-time is context-dependent and is relative to the inference time-scale.</w:t>
            </w:r>
          </w:p>
          <w:p>
            <w:pPr>
              <w:rPr>
                <w:rFonts w:hint="default" w:ascii="Times New Roman" w:hAnsi="Times New Roman" w:cs="Times New Roman"/>
                <w:sz w:val="20"/>
                <w:szCs w:val="20"/>
              </w:rPr>
            </w:pPr>
            <w:r>
              <w:rPr>
                <w:rFonts w:hint="default" w:ascii="Times New Roman" w:hAnsi="Times New Roman" w:cs="Times New Roman"/>
                <w:sz w:val="20"/>
                <w:szCs w:val="20"/>
              </w:rPr>
              <w:t>Note: This definition only serves as a guidance. There may be cases that may not exactly conform to this definition but could still be categorized as online training by commonly accepted conventions.</w:t>
            </w:r>
          </w:p>
          <w:p>
            <w:pPr>
              <w:rPr>
                <w:rFonts w:hint="default" w:ascii="Times New Roman" w:hAnsi="Times New Roman" w:cs="Times New Roman"/>
                <w:sz w:val="20"/>
                <w:szCs w:val="20"/>
              </w:rPr>
            </w:pPr>
            <w:r>
              <w:rPr>
                <w:rFonts w:hint="default" w:ascii="Times New Roman" w:hAnsi="Times New Roman" w:cs="Times New Roman"/>
                <w:sz w:val="20"/>
                <w:szCs w:val="20"/>
              </w:rPr>
              <w:t>Note: Fine-tuning/re-training may be done via online or offline training. (This note could be removed when we define the term fine-tuning.)</w:t>
            </w:r>
          </w:p>
        </w:tc>
      </w:tr>
      <w:tr>
        <w:tblPrEx>
          <w:tblCellMar>
            <w:top w:w="0" w:type="dxa"/>
            <w:left w:w="108" w:type="dxa"/>
            <w:bottom w:w="0" w:type="dxa"/>
            <w:right w:w="108" w:type="dxa"/>
          </w:tblCellMar>
        </w:tblPrEx>
        <w:tc>
          <w:tcPr>
            <w:tcW w:w="1396" w:type="dxa"/>
            <w:tcBorders>
              <w:top w:val="single" w:color="auto" w:sz="8" w:space="0"/>
              <w:left w:val="single" w:color="auto" w:sz="8" w:space="0"/>
              <w:bottom w:val="single" w:color="auto" w:sz="8" w:space="0"/>
              <w:right w:val="single" w:color="auto" w:sz="8" w:space="0"/>
            </w:tcBorders>
            <w:noWrap w:val="0"/>
            <w:vAlign w:val="top"/>
          </w:tcPr>
          <w:p>
            <w:pPr>
              <w:rPr>
                <w:rFonts w:hint="default" w:ascii="Times New Roman" w:hAnsi="Times New Roman" w:cs="Times New Roman"/>
                <w:sz w:val="20"/>
                <w:szCs w:val="20"/>
              </w:rPr>
            </w:pPr>
            <w:r>
              <w:rPr>
                <w:rFonts w:hint="default" w:ascii="Times New Roman" w:hAnsi="Times New Roman" w:cs="Times New Roman"/>
                <w:sz w:val="20"/>
                <w:szCs w:val="20"/>
              </w:rPr>
              <w:t>Offline training</w:t>
            </w:r>
          </w:p>
        </w:tc>
        <w:tc>
          <w:tcPr>
            <w:tcW w:w="8210" w:type="dxa"/>
            <w:tcBorders>
              <w:top w:val="single" w:color="auto" w:sz="8" w:space="0"/>
              <w:left w:val="single" w:color="auto" w:sz="8" w:space="0"/>
              <w:bottom w:val="single" w:color="auto" w:sz="8" w:space="0"/>
              <w:right w:val="single" w:color="auto" w:sz="8" w:space="0"/>
            </w:tcBorders>
            <w:noWrap w:val="0"/>
            <w:vAlign w:val="top"/>
          </w:tcPr>
          <w:p>
            <w:pPr>
              <w:rPr>
                <w:rFonts w:hint="default" w:ascii="Times New Roman" w:hAnsi="Times New Roman" w:cs="Times New Roman"/>
                <w:b/>
                <w:bCs/>
                <w:sz w:val="20"/>
                <w:szCs w:val="20"/>
              </w:rPr>
            </w:pPr>
            <w:r>
              <w:rPr>
                <w:rFonts w:hint="default" w:ascii="Times New Roman" w:hAnsi="Times New Roman" w:cs="Times New Roman"/>
                <w:b/>
                <w:bCs/>
                <w:sz w:val="20"/>
                <w:szCs w:val="20"/>
              </w:rPr>
              <w:t>An AI/ML training process where the model is trained based on collected dataset, and where the trained model is later used or delivered for inference.</w:t>
            </w:r>
          </w:p>
          <w:p>
            <w:pPr>
              <w:rPr>
                <w:rFonts w:hint="default" w:ascii="Times New Roman" w:hAnsi="Times New Roman" w:cs="Times New Roman"/>
                <w:sz w:val="20"/>
                <w:szCs w:val="20"/>
              </w:rPr>
            </w:pPr>
            <w:r>
              <w:rPr>
                <w:rFonts w:hint="default" w:ascii="Times New Roman" w:hAnsi="Times New Roman" w:cs="Times New Roman"/>
                <w:sz w:val="20"/>
                <w:szCs w:val="20"/>
              </w:rPr>
              <w:t>Note: This definition only serves as a guidance. There may be cases that may not exactly conform to this definition but could still be categorized as offline training by commonly accepted conventions.</w:t>
            </w:r>
          </w:p>
        </w:tc>
      </w:tr>
    </w:tbl>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Observation 2: The requirements on data collection for online training and offline training are different, and should be discussed separately.</w:t>
      </w:r>
    </w:p>
    <w:p>
      <w:pPr>
        <w:spacing w:before="120" w:beforeLines="50" w:after="120" w:line="260" w:lineRule="exact"/>
        <w:rPr>
          <w:rFonts w:hint="eastAsia" w:ascii="Arial" w:hAnsi="Arial" w:eastAsia="宋体" w:cs="Arial"/>
          <w:kern w:val="0"/>
          <w:sz w:val="20"/>
          <w:szCs w:val="20"/>
          <w:lang w:val="en-US" w:eastAsia="zh-CN"/>
        </w:rPr>
      </w:pPr>
      <w:r>
        <w:rPr>
          <w:rFonts w:hint="eastAsia" w:ascii="Arial" w:hAnsi="Arial" w:cs="Arial"/>
          <w:b w:val="0"/>
          <w:bCs/>
          <w:sz w:val="20"/>
          <w:szCs w:val="20"/>
          <w:lang w:val="en-US" w:eastAsia="zh-CN"/>
        </w:rPr>
        <w:t xml:space="preserve">If </w:t>
      </w:r>
      <w:r>
        <w:rPr>
          <w:rFonts w:hint="eastAsia" w:ascii="Arial" w:hAnsi="Arial" w:eastAsia="宋体" w:cs="Arial"/>
          <w:kern w:val="0"/>
          <w:sz w:val="20"/>
          <w:szCs w:val="20"/>
          <w:lang w:val="en-US" w:eastAsia="zh-CN"/>
        </w:rPr>
        <w:t xml:space="preserve">online training is used, data collection should be terminated at the same entity with model training and model inference. For example, </w:t>
      </w:r>
      <w:r>
        <w:rPr>
          <w:rFonts w:hint="eastAsia" w:ascii="Arial" w:hAnsi="Arial" w:eastAsia="宋体" w:cs="Arial"/>
          <w:kern w:val="0"/>
          <w:sz w:val="20"/>
          <w:szCs w:val="20"/>
          <w:highlight w:val="none"/>
          <w:lang w:val="en-US" w:eastAsia="zh-CN"/>
        </w:rPr>
        <w:t>for CSI feedback use case, data collection for online training is terminated at UE for UE-side model, and terminated at gNB for gNB-side model;</w:t>
      </w:r>
      <w:r>
        <w:rPr>
          <w:rFonts w:hint="eastAsia" w:ascii="Arial" w:hAnsi="Arial" w:eastAsia="宋体" w:cs="Arial"/>
          <w:kern w:val="0"/>
          <w:sz w:val="20"/>
          <w:szCs w:val="20"/>
          <w:lang w:val="en-US" w:eastAsia="zh-CN"/>
        </w:rPr>
        <w:t xml:space="preserve"> for beam management use case, data collection for online training is terminated at UE for UE-side model, and terminated at gNB for gNB-side model; for positioning use case, data collection for online training is terminated at UE for UE-side model, terminated at gNB for gNB-side model, and terminated at LMF for LMF-side model.</w:t>
      </w:r>
    </w:p>
    <w:p>
      <w:pPr>
        <w:spacing w:before="120" w:beforeLines="50" w:after="120" w:line="260" w:lineRule="exact"/>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For online training, data collection should be terminated at the same entity with model training and model inference.</w:t>
      </w:r>
    </w:p>
    <w:p>
      <w:pPr>
        <w:pStyle w:val="8"/>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If offline training is used, model training and mode inference can be either co-located or reside in different entities. For example, </w:t>
      </w:r>
      <w:r>
        <w:rPr>
          <w:rFonts w:hint="eastAsia" w:ascii="Arial" w:hAnsi="Arial" w:eastAsia="宋体" w:cs="Arial"/>
          <w:kern w:val="0"/>
          <w:sz w:val="20"/>
          <w:szCs w:val="20"/>
          <w:highlight w:val="none"/>
          <w:lang w:val="en-US" w:eastAsia="zh-CN"/>
        </w:rPr>
        <w:t>for CSI feedback use case, data collection for offline training can be terminated at UE or gNB for UE-side model</w:t>
      </w:r>
      <w:r>
        <w:rPr>
          <w:rFonts w:hint="eastAsia" w:ascii="Arial" w:hAnsi="Arial" w:eastAsia="宋体" w:cs="Arial"/>
          <w:kern w:val="0"/>
          <w:sz w:val="20"/>
          <w:szCs w:val="20"/>
          <w:lang w:val="en-US" w:eastAsia="zh-CN"/>
        </w:rPr>
        <w:t>; for beam management use case, data collection for offline training can be terminated at UE or gNB for UE-side model; for positioning use case, data collection for offline training can be terminated at UE or LMF for UE-side model, data collection can be terminated at gNB or LMF for gNB side model, and data collection can be</w:t>
      </w:r>
      <w:r>
        <w:rPr>
          <w:rFonts w:hint="eastAsia" w:ascii="Arial" w:hAnsi="Arial" w:eastAsia="宋体" w:cs="Arial"/>
          <w:kern w:val="0"/>
          <w:sz w:val="20"/>
          <w:szCs w:val="20"/>
          <w:highlight w:val="none"/>
          <w:lang w:val="en-US" w:eastAsia="zh-CN"/>
        </w:rPr>
        <w:t xml:space="preserve"> terminated at LMF for LMF side model</w:t>
      </w:r>
      <w:r>
        <w:rPr>
          <w:rFonts w:hint="eastAsia" w:ascii="Arial" w:hAnsi="Arial" w:eastAsia="宋体" w:cs="Arial"/>
          <w:kern w:val="0"/>
          <w:sz w:val="20"/>
          <w:szCs w:val="20"/>
          <w:lang w:val="en-US" w:eastAsia="zh-CN"/>
        </w:rPr>
        <w:t>.</w:t>
      </w:r>
    </w:p>
    <w:p>
      <w:pPr>
        <w:spacing w:before="120" w:beforeLines="50" w:after="120" w:line="260" w:lineRule="exact"/>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For offline training, data collection for model training can be terminated at the same entity or different entities with model inference.</w:t>
      </w:r>
    </w:p>
    <w:p>
      <w:pPr>
        <w:pStyle w:val="8"/>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CSI feedback and beam management use case, we think that CN is not a good entity to collect all necessary data for offline model training because the CSI compression and beam management are purely over air interface which only involves UE and gNB. In addition, it is also hard for CN to understand the physical parameters and determine which AI/ML model is applicable for the specific use case. Thus, data collection for offline training for CSI feedback and beam management use case shall not be terminated at CN.</w:t>
      </w:r>
    </w:p>
    <w:p>
      <w:pPr>
        <w:pStyle w:val="8"/>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For CSI feedback and beam management use case, data collection for offline training shall not be terminated at CN.</w:t>
      </w:r>
    </w:p>
    <w:p>
      <w:pPr>
        <w:spacing w:before="120" w:beforeLines="50" w:after="120" w:line="260" w:lineRule="exact"/>
        <w:rPr>
          <w:rFonts w:hint="default" w:ascii="Arial" w:hAnsi="Arial" w:cs="Arial"/>
          <w:b w:val="0"/>
          <w:bCs/>
          <w:sz w:val="20"/>
          <w:szCs w:val="20"/>
          <w:lang w:val="en-US" w:eastAsia="zh-CN"/>
        </w:rPr>
      </w:pPr>
      <w:r>
        <w:rPr>
          <w:rFonts w:hint="eastAsia" w:ascii="Arial" w:hAnsi="Arial" w:cs="Arial"/>
          <w:b w:val="0"/>
          <w:bCs/>
          <w:sz w:val="20"/>
          <w:szCs w:val="20"/>
          <w:lang w:val="en-US" w:eastAsia="zh-CN"/>
        </w:rPr>
        <w:t>In existing data collection frameworks, data is collected from UE and reported to network. If the model is trained at UE side, data collection from network to UE can be further studied and new framework may be needed. RAN1 also discussed this case for beam management and will study the potential spec impacts.</w:t>
      </w:r>
    </w:p>
    <w:tbl>
      <w:tblPr>
        <w:tblStyle w:val="14"/>
        <w:tblW w:w="0" w:type="auto"/>
        <w:tblInd w:w="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spacing w:after="120"/>
              <w:ind w:left="0" w:firstLine="0"/>
              <w:rPr>
                <w:rFonts w:hint="default" w:ascii="Times New Roman" w:hAnsi="Times New Roman" w:cs="Times New Roman"/>
                <w:b/>
                <w:iCs/>
                <w:sz w:val="20"/>
                <w:szCs w:val="21"/>
                <w:highlight w:val="green"/>
                <w:lang w:eastAsia="zh-CN"/>
              </w:rPr>
            </w:pPr>
            <w:r>
              <w:rPr>
                <w:rFonts w:hint="eastAsia" w:ascii="Times New Roman" w:hAnsi="Times New Roman" w:cs="Times New Roman"/>
                <w:b/>
                <w:iCs/>
                <w:sz w:val="20"/>
                <w:szCs w:val="21"/>
                <w:highlight w:val="green"/>
                <w:lang w:val="en-US" w:eastAsia="zh-CN"/>
              </w:rPr>
              <w:t xml:space="preserve">RAN1#111 </w:t>
            </w:r>
            <w:r>
              <w:rPr>
                <w:rFonts w:hint="default" w:ascii="Times New Roman" w:hAnsi="Times New Roman" w:cs="Times New Roman"/>
                <w:b/>
                <w:iCs/>
                <w:sz w:val="20"/>
                <w:szCs w:val="21"/>
                <w:highlight w:val="green"/>
                <w:lang w:eastAsia="zh-CN"/>
              </w:rPr>
              <w:t>Agreement</w:t>
            </w:r>
          </w:p>
          <w:p>
            <w:pPr>
              <w:spacing w:after="120"/>
              <w:ind w:left="0" w:firstLine="0"/>
              <w:rPr>
                <w:rFonts w:hint="default" w:ascii="Times New Roman" w:hAnsi="Times New Roman" w:cs="Times New Roman"/>
                <w:b w:val="0"/>
                <w:bCs/>
                <w:i w:val="0"/>
                <w:iCs/>
                <w:sz w:val="20"/>
                <w:szCs w:val="21"/>
                <w:lang w:eastAsia="zh-CN"/>
              </w:rPr>
            </w:pPr>
            <w:r>
              <w:rPr>
                <w:rFonts w:hint="default" w:ascii="Times New Roman" w:hAnsi="Times New Roman" w:cs="Times New Roman"/>
                <w:b w:val="0"/>
                <w:bCs/>
                <w:i w:val="0"/>
                <w:iCs/>
                <w:sz w:val="20"/>
                <w:szCs w:val="21"/>
                <w:lang w:eastAsia="zh-CN"/>
              </w:rPr>
              <w:t xml:space="preserve">Regarding the </w:t>
            </w:r>
            <w:r>
              <w:rPr>
                <w:rFonts w:hint="default" w:ascii="Times New Roman" w:hAnsi="Times New Roman" w:cs="Times New Roman"/>
                <w:b w:val="0"/>
                <w:bCs/>
                <w:i w:val="0"/>
                <w:iCs/>
                <w:sz w:val="20"/>
                <w:szCs w:val="21"/>
                <w:highlight w:val="none"/>
                <w:lang w:eastAsia="zh-CN"/>
              </w:rPr>
              <w:t>data collection</w:t>
            </w:r>
            <w:r>
              <w:rPr>
                <w:rFonts w:hint="default" w:ascii="Times New Roman" w:hAnsi="Times New Roman" w:cs="Times New Roman"/>
                <w:b w:val="0"/>
                <w:bCs/>
                <w:i w:val="0"/>
                <w:iCs/>
                <w:sz w:val="20"/>
                <w:szCs w:val="21"/>
                <w:lang w:eastAsia="zh-CN"/>
              </w:rPr>
              <w:t xml:space="preserve"> for AI/ML model training at UE side, study the potential specification impact considering the following additional aspects.</w:t>
            </w:r>
          </w:p>
          <w:p>
            <w:pPr>
              <w:numPr>
                <w:ilvl w:val="0"/>
                <w:numId w:val="15"/>
              </w:numPr>
              <w:overflowPunct w:val="0"/>
              <w:autoSpaceDE w:val="0"/>
              <w:autoSpaceDN w:val="0"/>
              <w:adjustRightInd w:val="0"/>
              <w:spacing w:after="120"/>
              <w:contextualSpacing/>
              <w:textAlignment w:val="baseline"/>
              <w:rPr>
                <w:rFonts w:hint="default" w:ascii="Times New Roman" w:hAnsi="Times New Roman" w:eastAsia="等线" w:cs="Times New Roman"/>
                <w:b w:val="0"/>
                <w:bCs/>
                <w:i w:val="0"/>
                <w:iCs/>
                <w:sz w:val="20"/>
                <w:szCs w:val="21"/>
                <w:lang w:eastAsia="zh-CN"/>
              </w:rPr>
            </w:pPr>
            <w:r>
              <w:rPr>
                <w:rFonts w:hint="default" w:ascii="Times New Roman" w:hAnsi="Times New Roman" w:eastAsia="等线" w:cs="Times New Roman"/>
                <w:b w:val="0"/>
                <w:bCs/>
                <w:i w:val="0"/>
                <w:iCs/>
                <w:sz w:val="20"/>
                <w:szCs w:val="21"/>
                <w:lang w:eastAsia="zh-CN"/>
              </w:rPr>
              <w:t xml:space="preserve">Whether and how to initiate data collection </w:t>
            </w:r>
          </w:p>
          <w:p>
            <w:pPr>
              <w:numPr>
                <w:ilvl w:val="0"/>
                <w:numId w:val="15"/>
              </w:numPr>
              <w:overflowPunct w:val="0"/>
              <w:autoSpaceDE w:val="0"/>
              <w:autoSpaceDN w:val="0"/>
              <w:adjustRightInd w:val="0"/>
              <w:spacing w:after="120"/>
              <w:contextualSpacing/>
              <w:textAlignment w:val="baseline"/>
              <w:rPr>
                <w:rFonts w:hint="default" w:ascii="Times New Roman" w:hAnsi="Times New Roman" w:eastAsia="等线" w:cs="Times New Roman"/>
                <w:b w:val="0"/>
                <w:bCs/>
                <w:i w:val="0"/>
                <w:iCs/>
                <w:sz w:val="20"/>
                <w:szCs w:val="21"/>
                <w:lang w:eastAsia="zh-CN"/>
              </w:rPr>
            </w:pPr>
            <w:r>
              <w:rPr>
                <w:rFonts w:hint="default" w:ascii="Times New Roman" w:hAnsi="Times New Roman" w:eastAsia="等线" w:cs="Times New Roman"/>
                <w:b w:val="0"/>
                <w:bCs/>
                <w:i w:val="0"/>
                <w:iCs/>
                <w:sz w:val="20"/>
                <w:szCs w:val="21"/>
                <w:lang w:eastAsia="zh-CN"/>
              </w:rPr>
              <w:t>Configurations, e.g., configuration related to set A and/or Set B, information on association/mapping of Set A and Set B</w:t>
            </w:r>
          </w:p>
          <w:p>
            <w:pPr>
              <w:numPr>
                <w:ilvl w:val="0"/>
                <w:numId w:val="15"/>
              </w:numPr>
              <w:overflowPunct w:val="0"/>
              <w:autoSpaceDE w:val="0"/>
              <w:autoSpaceDN w:val="0"/>
              <w:adjustRightInd w:val="0"/>
              <w:spacing w:after="120"/>
              <w:contextualSpacing/>
              <w:textAlignment w:val="baseline"/>
              <w:rPr>
                <w:rFonts w:hint="default" w:ascii="Times New Roman" w:hAnsi="Times New Roman" w:cs="Times New Roman"/>
                <w:b w:val="0"/>
                <w:bCs/>
                <w:i w:val="0"/>
                <w:iCs/>
                <w:sz w:val="20"/>
                <w:szCs w:val="21"/>
                <w:lang w:eastAsia="zh-CN"/>
              </w:rPr>
            </w:pPr>
            <w:r>
              <w:rPr>
                <w:rFonts w:hint="default" w:ascii="Times New Roman" w:hAnsi="Times New Roman" w:eastAsia="等线" w:cs="Times New Roman"/>
                <w:b w:val="0"/>
                <w:bCs/>
                <w:i w:val="0"/>
                <w:iCs/>
                <w:sz w:val="20"/>
                <w:szCs w:val="21"/>
                <w:lang w:eastAsia="zh-CN"/>
              </w:rPr>
              <w:t>Assistance information from Network to UE (If supported)</w:t>
            </w:r>
          </w:p>
          <w:p>
            <w:pPr>
              <w:numPr>
                <w:ilvl w:val="0"/>
                <w:numId w:val="15"/>
              </w:numPr>
              <w:overflowPunct w:val="0"/>
              <w:autoSpaceDE w:val="0"/>
              <w:autoSpaceDN w:val="0"/>
              <w:adjustRightInd w:val="0"/>
              <w:spacing w:after="120"/>
              <w:contextualSpacing/>
              <w:textAlignment w:val="baseline"/>
              <w:rPr>
                <w:rFonts w:eastAsia="等线"/>
                <w:b/>
                <w:vertAlign w:val="baseline"/>
                <w:lang w:eastAsia="zh-CN"/>
              </w:rPr>
            </w:pPr>
            <w:r>
              <w:rPr>
                <w:rFonts w:hint="default" w:ascii="Times New Roman" w:hAnsi="Times New Roman" w:cs="Times New Roman"/>
                <w:b w:val="0"/>
                <w:bCs/>
                <w:i w:val="0"/>
                <w:iCs/>
                <w:sz w:val="20"/>
                <w:szCs w:val="21"/>
                <w:lang w:eastAsia="zh-CN"/>
              </w:rPr>
              <w:t>Other aspect(s) is not precluded</w:t>
            </w:r>
          </w:p>
        </w:tc>
      </w:tr>
    </w:tbl>
    <w:p>
      <w:pPr>
        <w:spacing w:before="120" w:beforeLines="50" w:after="120" w:line="260" w:lineRule="exact"/>
        <w:rPr>
          <w:rFonts w:hint="eastAsia" w:ascii="Arial" w:hAnsi="Arial" w:cs="Arial"/>
          <w:b w:val="0"/>
          <w:bCs/>
          <w:sz w:val="20"/>
          <w:szCs w:val="20"/>
          <w:lang w:val="en-US" w:eastAsia="zh-CN"/>
        </w:rPr>
      </w:pPr>
      <w:r>
        <w:rPr>
          <w:rFonts w:hint="eastAsia" w:ascii="Arial" w:hAnsi="Arial" w:cs="Arial"/>
          <w:b w:val="0"/>
          <w:bCs/>
          <w:sz w:val="20"/>
          <w:szCs w:val="20"/>
          <w:lang w:val="en-US" w:eastAsia="zh-CN"/>
        </w:rPr>
        <w:t>For the sake of simplicity, we assume that NW-side model cannot be trained at UE side, so data collection for model training from network to UE is precluded for NW-side model, while it can be considered for UE-side model since the limited data in UE maybe not enough for model training.</w:t>
      </w:r>
    </w:p>
    <w:p>
      <w:pPr>
        <w:spacing w:before="120" w:beforeLines="50" w:after="120" w:line="260" w:lineRule="exact"/>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6: Data collection for NW-side model training at UE side is precluded.</w:t>
      </w:r>
    </w:p>
    <w:p>
      <w:pPr>
        <w:spacing w:before="120" w:beforeLines="50" w:after="120" w:line="260" w:lineRule="exact"/>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7: Data collection from network to UE for model training at UE side for UE-side model can be further studied.</w:t>
      </w:r>
    </w:p>
    <w:p>
      <w:pPr>
        <w:spacing w:before="120" w:beforeLines="50" w:after="120" w:line="260" w:lineRule="exact"/>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In CSI feedback enhancement use case, immediate MDT, L3 measurement, L1 measurement (CSI reporting) and UAI can be further discussed for data collection for model training. Although the max payload size for L1 measurement is limited, the multiple reporting can also support large size data. </w:t>
      </w:r>
    </w:p>
    <w:p>
      <w:pPr>
        <w:spacing w:before="120" w:beforeLines="50" w:after="120" w:line="260" w:lineRule="exact"/>
        <w:rPr>
          <w:rFonts w:hint="default" w:ascii="Arial" w:hAnsi="Arial" w:cs="Arial"/>
          <w:b w:val="0"/>
          <w:bCs/>
          <w:sz w:val="20"/>
          <w:szCs w:val="20"/>
          <w:lang w:val="en-US" w:eastAsia="zh-CN"/>
        </w:rPr>
      </w:pPr>
      <w:r>
        <w:rPr>
          <w:rFonts w:hint="eastAsia" w:ascii="Arial" w:hAnsi="Arial" w:cs="Arial"/>
          <w:b w:val="0"/>
          <w:bCs/>
          <w:sz w:val="20"/>
          <w:szCs w:val="20"/>
          <w:lang w:val="en-US" w:eastAsia="zh-CN"/>
        </w:rPr>
        <w:t xml:space="preserve">In beam management use case, immediate MDT, L3 measurement and UAI can be further studied for data collection for model training. </w:t>
      </w:r>
    </w:p>
    <w:p>
      <w:pPr>
        <w:spacing w:before="120" w:beforeLines="50" w:after="120" w:line="260" w:lineRule="exact"/>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In positioning accuracy enhancement use case, immediate MDT, L3 measurement, UAI and LPP can be further discussed for data collection for model training, wherein LPP is preferred if model is trained at LMF side. </w:t>
      </w:r>
    </w:p>
    <w:p>
      <w:pPr>
        <w:spacing w:before="120" w:beforeLines="50" w:after="120" w:line="260" w:lineRule="exact"/>
        <w:rPr>
          <w:rFonts w:hint="default" w:ascii="Arial" w:hAnsi="Arial" w:cs="Arial"/>
          <w:b w:val="0"/>
          <w:bCs/>
          <w:sz w:val="20"/>
          <w:szCs w:val="20"/>
          <w:lang w:val="en-US" w:eastAsia="zh-CN"/>
        </w:rPr>
      </w:pPr>
      <w:r>
        <w:rPr>
          <w:rFonts w:hint="eastAsia" w:ascii="Arial" w:hAnsi="Arial" w:cs="Arial"/>
          <w:b w:val="0"/>
          <w:bCs/>
          <w:sz w:val="20"/>
          <w:szCs w:val="20"/>
          <w:lang w:val="en-US" w:eastAsia="zh-CN"/>
        </w:rPr>
        <w:t>Other data collection framework in connected state is not precluded and can be further evaluated. But the specific framework for each use case should be further discussed and decided after RAN1 has efficient progress.</w:t>
      </w:r>
    </w:p>
    <w:p>
      <w:pPr>
        <w:keepNext w:val="0"/>
        <w:keepLines w:val="0"/>
        <w:pageBreakBefore w:val="0"/>
        <w:widowControl w:val="0"/>
        <w:kinsoku/>
        <w:wordWrap/>
        <w:overflowPunct/>
        <w:topLinePunct w:val="0"/>
        <w:autoSpaceDE/>
        <w:autoSpaceDN/>
        <w:bidi w:val="0"/>
        <w:adjustRightInd/>
        <w:snapToGrid/>
        <w:spacing w:after="0" w:afterLines="50"/>
        <w:jc w:val="center"/>
        <w:textAlignment w:val="auto"/>
        <w:rPr>
          <w:rFonts w:hint="default" w:ascii="Arial" w:hAnsi="Arial" w:cs="Arial" w:eastAsiaTheme="minorEastAsia"/>
          <w:b w:val="0"/>
          <w:bCs/>
          <w:sz w:val="20"/>
          <w:szCs w:val="20"/>
          <w:lang w:val="en-US" w:eastAsia="zh-CN"/>
        </w:rPr>
      </w:pPr>
      <w:r>
        <w:rPr>
          <w:rFonts w:hint="default" w:ascii="Arial" w:hAnsi="Arial" w:cs="Arial" w:eastAsiaTheme="minorEastAsia"/>
          <w:b w:val="0"/>
          <w:bCs/>
          <w:sz w:val="20"/>
          <w:szCs w:val="20"/>
          <w:lang w:eastAsia="zh-CN"/>
        </w:rPr>
        <w:t>Table</w:t>
      </w:r>
      <w:r>
        <w:rPr>
          <w:rFonts w:hint="eastAsia" w:ascii="Arial" w:hAnsi="Arial" w:cs="Arial"/>
          <w:b w:val="0"/>
          <w:bCs/>
          <w:sz w:val="20"/>
          <w:szCs w:val="20"/>
          <w:lang w:val="en-US" w:eastAsia="zh-CN"/>
        </w:rPr>
        <w:t xml:space="preserve"> 1</w:t>
      </w:r>
      <w:r>
        <w:rPr>
          <w:rFonts w:hint="default" w:ascii="Arial" w:hAnsi="Arial" w:cs="Arial" w:eastAsiaTheme="minorEastAsia"/>
          <w:b w:val="0"/>
          <w:bCs/>
          <w:sz w:val="20"/>
          <w:szCs w:val="20"/>
          <w:lang w:eastAsia="zh-CN"/>
        </w:rPr>
        <w:t xml:space="preserve">: </w:t>
      </w:r>
      <w:r>
        <w:rPr>
          <w:rFonts w:hint="eastAsia" w:ascii="Arial" w:hAnsi="Arial" w:cs="Arial"/>
          <w:b w:val="0"/>
          <w:bCs/>
          <w:sz w:val="20"/>
          <w:szCs w:val="20"/>
          <w:lang w:val="en-US" w:eastAsia="zh-CN"/>
        </w:rPr>
        <w:t xml:space="preserve">The </w:t>
      </w:r>
      <w:r>
        <w:rPr>
          <w:rFonts w:hint="default" w:ascii="Arial" w:hAnsi="Arial" w:cs="Arial" w:eastAsiaTheme="minorEastAsia"/>
          <w:b w:val="0"/>
          <w:bCs/>
          <w:sz w:val="20"/>
          <w:szCs w:val="20"/>
          <w:lang w:eastAsia="zh-CN"/>
        </w:rPr>
        <w:t xml:space="preserve">relation between </w:t>
      </w:r>
      <w:r>
        <w:rPr>
          <w:rFonts w:hint="eastAsia" w:ascii="Arial" w:hAnsi="Arial" w:cs="Arial"/>
          <w:b w:val="0"/>
          <w:bCs/>
          <w:sz w:val="20"/>
          <w:szCs w:val="20"/>
          <w:vertAlign w:val="baseline"/>
          <w:lang w:val="en-US" w:eastAsia="zh-CN"/>
        </w:rPr>
        <w:t xml:space="preserve">data collection </w:t>
      </w:r>
      <w:r>
        <w:rPr>
          <w:rFonts w:hint="eastAsia" w:ascii="Arial" w:hAnsi="Arial" w:cs="Arial"/>
          <w:b w:val="0"/>
          <w:bCs/>
          <w:sz w:val="20"/>
          <w:szCs w:val="20"/>
          <w:lang w:val="en-US" w:eastAsia="zh-CN"/>
        </w:rPr>
        <w:t>framework</w:t>
      </w:r>
      <w:r>
        <w:rPr>
          <w:rFonts w:hint="default" w:ascii="Arial" w:hAnsi="Arial" w:cs="Arial" w:eastAsiaTheme="minorEastAsia"/>
          <w:b w:val="0"/>
          <w:bCs/>
          <w:sz w:val="20"/>
          <w:szCs w:val="20"/>
          <w:lang w:eastAsia="zh-CN"/>
        </w:rPr>
        <w:t>s and use cases</w:t>
      </w:r>
      <w:r>
        <w:rPr>
          <w:rFonts w:hint="eastAsia" w:ascii="Arial" w:hAnsi="Arial" w:cs="Arial"/>
          <w:b w:val="0"/>
          <w:bCs/>
          <w:sz w:val="20"/>
          <w:szCs w:val="20"/>
          <w:lang w:val="en-US" w:eastAsia="zh-CN"/>
        </w:rPr>
        <w:t xml:space="preserve"> for model training</w:t>
      </w:r>
    </w:p>
    <w:tbl>
      <w:tblPr>
        <w:tblStyle w:val="14"/>
        <w:tblW w:w="0" w:type="auto"/>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5"/>
        <w:gridCol w:w="6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Arial" w:hAnsi="Arial" w:cs="Arial"/>
                <w:b/>
                <w:bCs w:val="0"/>
                <w:sz w:val="20"/>
                <w:szCs w:val="20"/>
                <w:vertAlign w:val="baseline"/>
                <w:lang w:val="en-US" w:eastAsia="zh-CN"/>
              </w:rPr>
            </w:pPr>
            <w:r>
              <w:rPr>
                <w:rFonts w:hint="eastAsia" w:ascii="Arial" w:hAnsi="Arial" w:cs="Arial"/>
                <w:b/>
                <w:bCs w:val="0"/>
                <w:sz w:val="20"/>
                <w:szCs w:val="20"/>
                <w:vertAlign w:val="baseline"/>
                <w:lang w:val="en-US" w:eastAsia="zh-CN"/>
              </w:rPr>
              <w:t>Use case</w:t>
            </w:r>
          </w:p>
        </w:tc>
        <w:tc>
          <w:tcPr>
            <w:tcW w:w="611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Arial" w:hAnsi="Arial" w:cs="Arial"/>
                <w:b/>
                <w:bCs w:val="0"/>
                <w:sz w:val="20"/>
                <w:szCs w:val="20"/>
                <w:vertAlign w:val="baseline"/>
                <w:lang w:val="en-US" w:eastAsia="zh-CN"/>
              </w:rPr>
            </w:pPr>
            <w:r>
              <w:rPr>
                <w:rFonts w:hint="eastAsia" w:ascii="Arial" w:hAnsi="Arial" w:cs="Arial"/>
                <w:b/>
                <w:bCs w:val="0"/>
                <w:sz w:val="20"/>
                <w:szCs w:val="20"/>
                <w:vertAlign w:val="baseline"/>
                <w:lang w:val="en-US" w:eastAsia="zh-CN"/>
              </w:rPr>
              <w:t>Potential data collection framework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Arial" w:hAnsi="Arial" w:cs="Arial"/>
                <w:b w:val="0"/>
                <w:bCs/>
                <w:sz w:val="20"/>
                <w:szCs w:val="20"/>
                <w:vertAlign w:val="baseline"/>
                <w:lang w:val="en-US" w:eastAsia="zh-CN"/>
              </w:rPr>
            </w:pPr>
            <w:r>
              <w:rPr>
                <w:rFonts w:hint="eastAsia" w:ascii="Arial" w:hAnsi="Arial" w:cs="Arial"/>
                <w:b w:val="0"/>
                <w:bCs/>
                <w:sz w:val="20"/>
                <w:szCs w:val="20"/>
                <w:vertAlign w:val="baseline"/>
                <w:lang w:val="en-US" w:eastAsia="zh-CN"/>
              </w:rPr>
              <w:t>CSI feedback enhancement</w:t>
            </w:r>
          </w:p>
        </w:tc>
        <w:tc>
          <w:tcPr>
            <w:tcW w:w="6115" w:type="dxa"/>
          </w:tcPr>
          <w:p>
            <w:pPr>
              <w:keepNext w:val="0"/>
              <w:keepLines w:val="0"/>
              <w:pageBreakBefore w:val="0"/>
              <w:widowControl w:val="0"/>
              <w:numPr>
                <w:ilvl w:val="0"/>
                <w:numId w:val="16"/>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immediate MDT </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L3 measurement </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L1 measurement (CSI reporting) </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vertAlign w:val="baseline"/>
                <w:lang w:val="en-US" w:eastAsia="zh-CN"/>
              </w:rPr>
            </w:pPr>
            <w:r>
              <w:rPr>
                <w:rFonts w:hint="eastAsia" w:ascii="Arial" w:hAnsi="Arial" w:cs="Arial"/>
                <w:b w:val="0"/>
                <w:bCs/>
                <w:sz w:val="20"/>
                <w:szCs w:val="20"/>
                <w:lang w:val="en-US" w:eastAsia="zh-CN"/>
              </w:rPr>
              <w:t>UAI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Arial" w:hAnsi="Arial" w:cs="Arial"/>
                <w:b w:val="0"/>
                <w:bCs/>
                <w:sz w:val="20"/>
                <w:szCs w:val="20"/>
                <w:vertAlign w:val="baseline"/>
                <w:lang w:val="en-US" w:eastAsia="zh-CN"/>
              </w:rPr>
            </w:pPr>
            <w:r>
              <w:rPr>
                <w:rFonts w:hint="eastAsia" w:ascii="Arial" w:hAnsi="Arial" w:cs="Arial"/>
                <w:b w:val="0"/>
                <w:bCs/>
                <w:sz w:val="20"/>
                <w:szCs w:val="20"/>
                <w:vertAlign w:val="baseline"/>
                <w:lang w:val="en-US" w:eastAsia="zh-CN"/>
              </w:rPr>
              <w:t>Beam management</w:t>
            </w:r>
          </w:p>
        </w:tc>
        <w:tc>
          <w:tcPr>
            <w:tcW w:w="6115" w:type="dxa"/>
          </w:tcPr>
          <w:p>
            <w:pPr>
              <w:keepNext w:val="0"/>
              <w:keepLines w:val="0"/>
              <w:pageBreakBefore w:val="0"/>
              <w:widowControl w:val="0"/>
              <w:numPr>
                <w:ilvl w:val="0"/>
                <w:numId w:val="17"/>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immediate MDT </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L3 measurement </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vertAlign w:val="baseline"/>
                <w:lang w:val="en-US" w:eastAsia="zh-CN"/>
              </w:rPr>
            </w:pPr>
            <w:r>
              <w:rPr>
                <w:rFonts w:hint="eastAsia" w:ascii="Arial" w:hAnsi="Arial" w:cs="Arial"/>
                <w:b w:val="0"/>
                <w:bCs/>
                <w:sz w:val="20"/>
                <w:szCs w:val="20"/>
                <w:lang w:val="en-US" w:eastAsia="zh-CN"/>
              </w:rPr>
              <w:t>UAI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Arial" w:hAnsi="Arial" w:cs="Arial"/>
                <w:b w:val="0"/>
                <w:bCs/>
                <w:sz w:val="20"/>
                <w:szCs w:val="20"/>
                <w:vertAlign w:val="baseline"/>
                <w:lang w:val="en-US" w:eastAsia="zh-CN"/>
              </w:rPr>
            </w:pPr>
            <w:r>
              <w:rPr>
                <w:rFonts w:hint="eastAsia" w:ascii="Arial" w:hAnsi="Arial" w:cs="Arial"/>
                <w:b w:val="0"/>
                <w:bCs/>
                <w:sz w:val="20"/>
                <w:szCs w:val="20"/>
                <w:vertAlign w:val="baseline"/>
                <w:lang w:val="en-US" w:eastAsia="zh-CN"/>
              </w:rPr>
              <w:t>Positioning accuracy enhancement</w:t>
            </w:r>
          </w:p>
        </w:tc>
        <w:tc>
          <w:tcPr>
            <w:tcW w:w="6115" w:type="dxa"/>
          </w:tcPr>
          <w:p>
            <w:pPr>
              <w:keepNext w:val="0"/>
              <w:keepLines w:val="0"/>
              <w:pageBreakBefore w:val="0"/>
              <w:widowControl w:val="0"/>
              <w:numPr>
                <w:ilvl w:val="0"/>
                <w:numId w:val="18"/>
              </w:numPr>
              <w:kinsoku/>
              <w:wordWrap/>
              <w:overflowPunct/>
              <w:topLinePunct w:val="0"/>
              <w:autoSpaceDE/>
              <w:autoSpaceDN/>
              <w:bidi w:val="0"/>
              <w:adjustRightInd/>
              <w:snapToGrid/>
              <w:spacing w:line="240" w:lineRule="auto"/>
              <w:ind w:left="425" w:leftChars="0" w:hanging="425" w:firstLineChars="0"/>
              <w:jc w:val="both"/>
              <w:textAlignment w:val="auto"/>
              <w:rPr>
                <w:rFonts w:hint="default" w:ascii="Arial" w:hAnsi="Arial" w:cs="Arial"/>
                <w:b w:val="0"/>
                <w:bCs/>
                <w:sz w:val="20"/>
                <w:szCs w:val="20"/>
                <w:lang w:val="en-US" w:eastAsia="zh-CN"/>
              </w:rPr>
            </w:pPr>
            <w:r>
              <w:rPr>
                <w:rFonts w:hint="eastAsia" w:ascii="Arial" w:hAnsi="Arial" w:cs="Arial"/>
                <w:b w:val="0"/>
                <w:bCs/>
                <w:sz w:val="20"/>
                <w:szCs w:val="20"/>
                <w:lang w:val="en-US" w:eastAsia="zh-CN"/>
              </w:rPr>
              <w:t>LPP (preferred if model training at LMF)</w:t>
            </w:r>
          </w:p>
          <w:p>
            <w:pPr>
              <w:keepNext w:val="0"/>
              <w:keepLines w:val="0"/>
              <w:pageBreakBefore w:val="0"/>
              <w:widowControl w:val="0"/>
              <w:numPr>
                <w:ilvl w:val="0"/>
                <w:numId w:val="18"/>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immediate MDT </w:t>
            </w:r>
          </w:p>
          <w:p>
            <w:pPr>
              <w:keepNext w:val="0"/>
              <w:keepLines w:val="0"/>
              <w:pageBreakBefore w:val="0"/>
              <w:widowControl w:val="0"/>
              <w:numPr>
                <w:ilvl w:val="0"/>
                <w:numId w:val="18"/>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L3 measurement </w:t>
            </w:r>
          </w:p>
          <w:p>
            <w:pPr>
              <w:keepNext w:val="0"/>
              <w:keepLines w:val="0"/>
              <w:pageBreakBefore w:val="0"/>
              <w:widowControl w:val="0"/>
              <w:numPr>
                <w:ilvl w:val="0"/>
                <w:numId w:val="18"/>
              </w:numPr>
              <w:kinsoku/>
              <w:wordWrap/>
              <w:overflowPunct/>
              <w:topLinePunct w:val="0"/>
              <w:autoSpaceDE/>
              <w:autoSpaceDN/>
              <w:bidi w:val="0"/>
              <w:adjustRightInd/>
              <w:snapToGrid/>
              <w:spacing w:line="240" w:lineRule="auto"/>
              <w:ind w:left="425" w:leftChars="0" w:hanging="425" w:firstLineChars="0"/>
              <w:jc w:val="both"/>
              <w:textAlignment w:val="auto"/>
              <w:rPr>
                <w:rFonts w:hint="default" w:ascii="Arial" w:hAnsi="Arial" w:cs="Arial"/>
                <w:b w:val="0"/>
                <w:bCs/>
                <w:sz w:val="20"/>
                <w:szCs w:val="20"/>
                <w:lang w:val="en-US" w:eastAsia="zh-CN"/>
              </w:rPr>
            </w:pPr>
            <w:r>
              <w:rPr>
                <w:rFonts w:hint="eastAsia" w:ascii="Arial" w:hAnsi="Arial" w:cs="Arial"/>
                <w:b w:val="0"/>
                <w:bCs/>
                <w:sz w:val="20"/>
                <w:szCs w:val="20"/>
                <w:lang w:val="en-US" w:eastAsia="zh-CN"/>
              </w:rPr>
              <w:t>UAI</w:t>
            </w:r>
          </w:p>
        </w:tc>
      </w:tr>
    </w:tbl>
    <w:p>
      <w:pPr>
        <w:spacing w:before="120" w:beforeLines="50" w:after="120" w:line="260" w:lineRule="exact"/>
        <w:rPr>
          <w:rFonts w:hint="default" w:ascii="Arial" w:hAnsi="Arial" w:cs="Arial"/>
          <w:b w:val="0"/>
          <w:bCs/>
          <w:sz w:val="20"/>
          <w:szCs w:val="20"/>
          <w:lang w:val="en-US" w:eastAsia="zh-CN"/>
        </w:rPr>
      </w:pPr>
      <w:r>
        <w:rPr>
          <w:rFonts w:hint="eastAsia" w:ascii="Arial" w:hAnsi="Arial" w:eastAsia="宋体" w:cs="Arial"/>
          <w:b/>
          <w:bCs/>
          <w:kern w:val="0"/>
          <w:sz w:val="20"/>
          <w:szCs w:val="20"/>
          <w:lang w:val="en-US" w:eastAsia="zh-CN"/>
        </w:rPr>
        <w:t>Proposal 8: For model training, the potential data collection frameworks for each use case in Table 1 can be further discussed. Other framework is not precluded.</w:t>
      </w:r>
    </w:p>
    <w:p>
      <w:pPr>
        <w:spacing w:before="120" w:beforeLines="50" w:after="120" w:line="260" w:lineRule="exact"/>
        <w:rPr>
          <w:rFonts w:hint="default" w:ascii="Arial" w:hAnsi="Arial" w:cs="Arial"/>
          <w:b w:val="0"/>
          <w:bCs/>
          <w:sz w:val="20"/>
          <w:szCs w:val="20"/>
          <w:lang w:val="en-US" w:eastAsia="zh-CN"/>
        </w:rPr>
      </w:pPr>
    </w:p>
    <w:p>
      <w:pPr>
        <w:widowControl/>
        <w:spacing w:after="180"/>
        <w:outlineLvl w:val="1"/>
        <w:rPr>
          <w:rFonts w:hint="default" w:ascii="Arial" w:hAnsi="Arial" w:eastAsia="宋体" w:cs="Arial"/>
          <w:kern w:val="0"/>
          <w:sz w:val="32"/>
          <w:szCs w:val="18"/>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3</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Data collection for model inference</w:t>
      </w:r>
    </w:p>
    <w:p>
      <w:pPr>
        <w:widowControl/>
        <w:spacing w:before="120" w:beforeLines="50" w:after="180"/>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For model inference, we understand that the required data size maybe smaller and the latency is lower than model training. </w:t>
      </w:r>
    </w:p>
    <w:p>
      <w:pPr>
        <w:widowControl/>
        <w:spacing w:before="120" w:beforeLines="50" w:after="180"/>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For CSI compression sub-use case, model inference resides at UE side for UE-part of two-side model, and model inference resides at gNB side for NW-part of two-side model. For UE-part model, data collection is terminated at UE side, and for NW-part, data collection is terminated at gNB side. Considering the latency, we think L1 measurement (CSI reporting) is preferred for data collection of NW-part model for model inference. Of course, other higher layer signaling is also feasible and can be further discussed. </w:t>
      </w:r>
    </w:p>
    <w:p>
      <w:pPr>
        <w:spacing w:before="120" w:beforeLines="50" w:after="120" w:line="260" w:lineRule="exact"/>
        <w:rPr>
          <w:rFonts w:hint="default" w:ascii="Arial" w:hAnsi="Arial" w:cs="Arial"/>
          <w:b w:val="0"/>
          <w:bCs/>
          <w:sz w:val="20"/>
          <w:szCs w:val="20"/>
          <w:lang w:val="en-US" w:eastAsia="zh-CN"/>
        </w:rPr>
      </w:pPr>
      <w:r>
        <w:rPr>
          <w:rFonts w:hint="eastAsia" w:ascii="Arial" w:hAnsi="Arial" w:cs="Arial"/>
          <w:b w:val="0"/>
          <w:bCs/>
          <w:sz w:val="20"/>
          <w:szCs w:val="20"/>
          <w:lang w:val="en-US" w:eastAsia="zh-CN"/>
        </w:rPr>
        <w:t>Regarding beam management use case, for UE-side model,</w:t>
      </w:r>
      <w:r>
        <w:rPr>
          <w:rFonts w:hint="eastAsia" w:ascii="Arial" w:hAnsi="Arial" w:cs="Arial"/>
          <w:b w:val="0"/>
          <w:bCs/>
          <w:sz w:val="20"/>
          <w:szCs w:val="20"/>
          <w:highlight w:val="none"/>
          <w:lang w:val="en-US" w:eastAsia="zh-CN"/>
        </w:rPr>
        <w:t xml:space="preserve"> the input for model inference is beam pairs in Set B which is transmitted from gNB to UE, as shown in Figure 1(b) step 1.</w:t>
      </w:r>
      <w:r>
        <w:rPr>
          <w:rFonts w:hint="eastAsia" w:ascii="Arial" w:hAnsi="Arial" w:cs="Arial"/>
          <w:b w:val="0"/>
          <w:bCs/>
          <w:sz w:val="20"/>
          <w:szCs w:val="20"/>
          <w:lang w:val="en-US" w:eastAsia="zh-CN"/>
        </w:rPr>
        <w:t xml:space="preserve"> For model inference with gNB-side model, data collection from UE to network is needed</w:t>
      </w:r>
      <w:r>
        <w:rPr>
          <w:rFonts w:hint="eastAsia" w:ascii="Arial" w:hAnsi="Arial" w:cs="Arial"/>
          <w:b w:val="0"/>
          <w:bCs/>
          <w:sz w:val="20"/>
          <w:szCs w:val="20"/>
          <w:highlight w:val="none"/>
          <w:lang w:val="en-US" w:eastAsia="zh-CN"/>
        </w:rPr>
        <w:t>, as shown in Figure 1(a) step 2</w:t>
      </w:r>
      <w:r>
        <w:rPr>
          <w:rFonts w:hint="eastAsia" w:ascii="Arial" w:hAnsi="Arial" w:cs="Arial"/>
          <w:b w:val="0"/>
          <w:bCs/>
          <w:sz w:val="20"/>
          <w:szCs w:val="20"/>
          <w:lang w:val="en-US" w:eastAsia="zh-CN"/>
        </w:rPr>
        <w:t>. Considering the latency, L1 signaling is preferred based on RAN1 agreements. In addition, immediate MDT and L3 measurement can be further studied.</w:t>
      </w:r>
    </w:p>
    <w:tbl>
      <w:tblPr>
        <w:tblStyle w:val="14"/>
        <w:tblW w:w="0" w:type="auto"/>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1" w:type="dxa"/>
          </w:tcPr>
          <w:p>
            <w:pPr>
              <w:shd w:val="clear" w:color="auto" w:fill="FFFFFF"/>
              <w:ind w:left="0" w:firstLine="0"/>
              <w:jc w:val="both"/>
              <w:rPr>
                <w:rFonts w:hint="default" w:ascii="Times New Roman" w:hAnsi="Times New Roman" w:eastAsia="等线" w:cs="Times New Roman"/>
                <w:b/>
                <w:bCs/>
                <w:sz w:val="20"/>
                <w:szCs w:val="18"/>
                <w:highlight w:val="green"/>
                <w:lang w:eastAsia="zh-CN"/>
              </w:rPr>
            </w:pPr>
            <w:r>
              <w:rPr>
                <w:rFonts w:hint="eastAsia" w:ascii="Times New Roman" w:hAnsi="Times New Roman" w:eastAsia="等线" w:cs="Times New Roman"/>
                <w:b/>
                <w:bCs/>
                <w:sz w:val="20"/>
                <w:szCs w:val="18"/>
                <w:highlight w:val="green"/>
                <w:lang w:val="en-US" w:eastAsia="zh-CN"/>
              </w:rPr>
              <w:t xml:space="preserve">RAN1#111 </w:t>
            </w:r>
            <w:r>
              <w:rPr>
                <w:rFonts w:hint="default" w:ascii="Times New Roman" w:hAnsi="Times New Roman" w:eastAsia="等线" w:cs="Times New Roman"/>
                <w:b/>
                <w:bCs/>
                <w:sz w:val="20"/>
                <w:szCs w:val="18"/>
                <w:highlight w:val="green"/>
                <w:lang w:eastAsia="zh-CN"/>
              </w:rPr>
              <w:t>Agreement</w:t>
            </w:r>
          </w:p>
          <w:p>
            <w:pPr>
              <w:shd w:val="clear" w:color="auto" w:fill="FFFFFF"/>
              <w:ind w:left="0" w:firstLine="0"/>
              <w:jc w:val="both"/>
              <w:rPr>
                <w:rFonts w:hint="default" w:ascii="Times New Roman" w:hAnsi="Times New Roman" w:cs="Times New Roman"/>
                <w:b w:val="0"/>
                <w:bCs w:val="0"/>
                <w:i w:val="0"/>
                <w:iCs w:val="0"/>
                <w:sz w:val="20"/>
                <w:szCs w:val="18"/>
                <w:lang w:eastAsia="zh-CN"/>
              </w:rPr>
            </w:pPr>
            <w:r>
              <w:rPr>
                <w:rFonts w:hint="default" w:ascii="Times New Roman" w:hAnsi="Times New Roman" w:cs="Times New Roman"/>
                <w:b w:val="0"/>
                <w:bCs w:val="0"/>
                <w:i w:val="0"/>
                <w:iCs w:val="0"/>
                <w:sz w:val="20"/>
                <w:szCs w:val="18"/>
                <w:lang w:eastAsia="zh-CN"/>
              </w:rPr>
              <w:t>For BM-Case1 and BM-Case2 with a network-side AI/ML model, study potential specification impact on the following L1 reporting enhancement for AI/ML model inference</w:t>
            </w:r>
          </w:p>
          <w:p>
            <w:pPr>
              <w:numPr>
                <w:ilvl w:val="0"/>
                <w:numId w:val="19"/>
              </w:numPr>
              <w:overflowPunct w:val="0"/>
              <w:autoSpaceDE w:val="0"/>
              <w:autoSpaceDN w:val="0"/>
              <w:adjustRightInd w:val="0"/>
              <w:spacing w:after="180"/>
              <w:contextualSpacing/>
              <w:textAlignment w:val="baseline"/>
              <w:rPr>
                <w:rFonts w:hint="default" w:ascii="Times New Roman" w:hAnsi="Times New Roman" w:eastAsia="宋体" w:cs="Times New Roman"/>
                <w:b w:val="0"/>
                <w:bCs w:val="0"/>
                <w:i w:val="0"/>
                <w:iCs w:val="0"/>
                <w:sz w:val="20"/>
                <w:szCs w:val="18"/>
                <w:lang w:eastAsia="zh-CN"/>
              </w:rPr>
            </w:pPr>
            <w:r>
              <w:rPr>
                <w:rFonts w:hint="default" w:ascii="Times New Roman" w:hAnsi="Times New Roman" w:eastAsia="宋体" w:cs="Times New Roman"/>
                <w:b w:val="0"/>
                <w:bCs w:val="0"/>
                <w:i w:val="0"/>
                <w:iCs w:val="0"/>
                <w:sz w:val="20"/>
                <w:szCs w:val="18"/>
                <w:lang w:eastAsia="zh-CN"/>
              </w:rPr>
              <w:t>UE to report the measurement results of more than 4 beams in one reporting instance</w:t>
            </w:r>
          </w:p>
          <w:p>
            <w:pPr>
              <w:numPr>
                <w:ilvl w:val="0"/>
                <w:numId w:val="19"/>
              </w:numPr>
              <w:overflowPunct w:val="0"/>
              <w:autoSpaceDE w:val="0"/>
              <w:autoSpaceDN w:val="0"/>
              <w:adjustRightInd w:val="0"/>
              <w:spacing w:after="180"/>
              <w:contextualSpacing/>
              <w:textAlignment w:val="baseline"/>
              <w:rPr>
                <w:rFonts w:hint="default" w:ascii="Arial" w:hAnsi="Arial" w:cs="Arial"/>
                <w:sz w:val="20"/>
                <w:szCs w:val="21"/>
                <w:vertAlign w:val="baseline"/>
                <w:lang w:val="en-US" w:eastAsia="zh-CN"/>
              </w:rPr>
            </w:pPr>
            <w:r>
              <w:rPr>
                <w:rFonts w:hint="default" w:ascii="Times New Roman" w:hAnsi="Times New Roman" w:eastAsia="宋体" w:cs="Times New Roman"/>
                <w:b w:val="0"/>
                <w:bCs w:val="0"/>
                <w:i w:val="0"/>
                <w:iCs w:val="0"/>
                <w:sz w:val="20"/>
                <w:szCs w:val="18"/>
                <w:lang w:eastAsia="zh-CN"/>
              </w:rPr>
              <w:t>Other L1 reporting enhancements can be considered</w:t>
            </w:r>
          </w:p>
        </w:tc>
      </w:tr>
    </w:tbl>
    <w:p>
      <w:pPr>
        <w:jc w:val="center"/>
        <w:rPr>
          <w:lang w:eastAsia="zh-CN"/>
        </w:rPr>
      </w:pPr>
      <w:r>
        <w:rPr>
          <w:lang w:val="en-US" w:eastAsia="zh-CN"/>
        </w:rPr>
        <w:drawing>
          <wp:inline distT="0" distB="0" distL="0" distR="0">
            <wp:extent cx="2557145" cy="2285365"/>
            <wp:effectExtent l="0" t="0" r="0" b="63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4"/>
                    <a:srcRect/>
                    <a:stretch>
                      <a:fillRect/>
                    </a:stretch>
                  </pic:blipFill>
                  <pic:spPr>
                    <a:xfrm>
                      <a:off x="0" y="0"/>
                      <a:ext cx="2557097" cy="2285455"/>
                    </a:xfrm>
                    <a:prstGeom prst="rect">
                      <a:avLst/>
                    </a:prstGeom>
                    <a:noFill/>
                  </pic:spPr>
                </pic:pic>
              </a:graphicData>
            </a:graphic>
          </wp:inline>
        </w:drawing>
      </w:r>
      <w:r>
        <w:rPr>
          <w:rFonts w:hint="eastAsia"/>
          <w:lang w:val="en-US" w:eastAsia="zh-CN"/>
        </w:rPr>
        <w:t xml:space="preserve">     </w:t>
      </w:r>
      <w:r>
        <w:rPr>
          <w:lang w:val="en-US" w:eastAsia="zh-CN"/>
        </w:rPr>
        <w:drawing>
          <wp:inline distT="0" distB="0" distL="0" distR="0">
            <wp:extent cx="2291715" cy="2283460"/>
            <wp:effectExtent l="0" t="0" r="6985" b="254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noChangeArrowheads="1"/>
                    </pic:cNvPicPr>
                  </pic:nvPicPr>
                  <pic:blipFill>
                    <a:blip r:embed="rId5"/>
                    <a:srcRect/>
                    <a:stretch>
                      <a:fillRect/>
                    </a:stretch>
                  </pic:blipFill>
                  <pic:spPr>
                    <a:xfrm>
                      <a:off x="0" y="0"/>
                      <a:ext cx="2290899" cy="2282200"/>
                    </a:xfrm>
                    <a:prstGeom prst="rect">
                      <a:avLst/>
                    </a:prstGeom>
                    <a:noFill/>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jc w:val="center"/>
        <w:textAlignment w:val="auto"/>
        <w:rPr>
          <w:rFonts w:hint="default" w:ascii="Arial" w:hAnsi="Arial" w:cs="Arial"/>
          <w:sz w:val="20"/>
          <w:szCs w:val="21"/>
          <w:lang w:val="en-US" w:eastAsia="zh-CN"/>
        </w:rPr>
      </w:pPr>
      <w:r>
        <w:rPr>
          <w:rFonts w:hint="eastAsia" w:ascii="Arial" w:hAnsi="Arial" w:cs="Arial"/>
          <w:sz w:val="20"/>
          <w:szCs w:val="21"/>
          <w:lang w:val="en-US" w:eastAsia="zh-CN"/>
        </w:rPr>
        <w:t xml:space="preserve">(a) </w:t>
      </w:r>
      <w:r>
        <w:rPr>
          <w:rFonts w:hint="default" w:ascii="Arial" w:hAnsi="Arial" w:cs="Arial"/>
          <w:sz w:val="20"/>
          <w:szCs w:val="21"/>
          <w:lang w:val="en-US" w:eastAsia="zh-CN"/>
        </w:rPr>
        <w:t>model inference</w:t>
      </w:r>
      <w:r>
        <w:rPr>
          <w:rFonts w:hint="default" w:ascii="Arial" w:hAnsi="Arial" w:cs="Arial"/>
          <w:sz w:val="20"/>
          <w:szCs w:val="21"/>
          <w:lang w:eastAsia="zh-CN"/>
        </w:rPr>
        <w:t xml:space="preserve"> at NW side</w:t>
      </w:r>
      <w:r>
        <w:rPr>
          <w:rFonts w:hint="default" w:ascii="Arial" w:hAnsi="Arial" w:cs="Arial"/>
          <w:sz w:val="20"/>
          <w:szCs w:val="21"/>
          <w:lang w:val="en-US" w:eastAsia="zh-CN"/>
        </w:rPr>
        <w:t xml:space="preserve">               </w:t>
      </w:r>
      <w:r>
        <w:rPr>
          <w:rFonts w:hint="eastAsia" w:ascii="Arial" w:hAnsi="Arial" w:cs="Arial"/>
          <w:sz w:val="20"/>
          <w:szCs w:val="21"/>
          <w:lang w:val="en-US" w:eastAsia="zh-CN"/>
        </w:rPr>
        <w:t>(</w:t>
      </w:r>
      <w:r>
        <w:rPr>
          <w:rFonts w:hint="default" w:ascii="Arial" w:hAnsi="Arial" w:cs="Arial"/>
          <w:sz w:val="20"/>
          <w:szCs w:val="21"/>
          <w:lang w:val="en-US" w:eastAsia="zh-CN"/>
        </w:rPr>
        <w:t>b) model inference at UE side</w:t>
      </w:r>
    </w:p>
    <w:p>
      <w:pPr>
        <w:widowControl/>
        <w:spacing w:before="120" w:beforeLines="50" w:after="180"/>
        <w:jc w:val="center"/>
        <w:rPr>
          <w:rFonts w:hint="default" w:ascii="Arial" w:hAnsi="Arial" w:cs="Arial"/>
          <w:sz w:val="18"/>
          <w:szCs w:val="20"/>
          <w:lang w:val="en-US" w:eastAsia="zh-CN"/>
        </w:rPr>
      </w:pPr>
      <w:r>
        <w:rPr>
          <w:rFonts w:hint="default" w:ascii="Arial" w:hAnsi="Arial" w:cs="Arial"/>
          <w:sz w:val="18"/>
          <w:szCs w:val="20"/>
          <w:lang w:val="en-US" w:eastAsia="zh-CN"/>
        </w:rPr>
        <w:t>Figure 1</w:t>
      </w:r>
      <w:r>
        <w:rPr>
          <w:rFonts w:hint="eastAsia" w:ascii="Arial" w:hAnsi="Arial" w:cs="Arial"/>
          <w:sz w:val="18"/>
          <w:szCs w:val="20"/>
          <w:lang w:val="en-US" w:eastAsia="zh-CN"/>
        </w:rPr>
        <w:t>.</w:t>
      </w:r>
      <w:r>
        <w:rPr>
          <w:rFonts w:hint="default" w:ascii="Arial" w:hAnsi="Arial" w:cs="Arial"/>
          <w:sz w:val="18"/>
          <w:szCs w:val="20"/>
          <w:lang w:val="en-US" w:eastAsia="zh-CN"/>
        </w:rPr>
        <w:t xml:space="preserve"> </w:t>
      </w:r>
      <w:r>
        <w:rPr>
          <w:rFonts w:hint="eastAsia" w:ascii="Arial" w:hAnsi="Arial" w:cs="Arial"/>
          <w:sz w:val="18"/>
          <w:szCs w:val="20"/>
          <w:lang w:val="en-US" w:eastAsia="zh-CN"/>
        </w:rPr>
        <w:t xml:space="preserve">Basic flow for </w:t>
      </w:r>
      <w:r>
        <w:rPr>
          <w:rFonts w:hint="default" w:ascii="Arial" w:hAnsi="Arial" w:cs="Arial"/>
          <w:sz w:val="18"/>
          <w:szCs w:val="20"/>
          <w:lang w:val="en-US" w:eastAsia="zh-CN"/>
        </w:rPr>
        <w:t>BM-Case 1</w:t>
      </w:r>
    </w:p>
    <w:p>
      <w:pPr>
        <w:widowControl/>
        <w:spacing w:before="120" w:beforeLines="50" w:after="180"/>
        <w:rPr>
          <w:rFonts w:hint="default" w:ascii="Arial" w:hAnsi="Arial" w:cs="Arial"/>
          <w:b w:val="0"/>
          <w:bCs/>
          <w:sz w:val="20"/>
          <w:szCs w:val="20"/>
          <w:lang w:val="en-US" w:eastAsia="zh-CN"/>
        </w:rPr>
      </w:pPr>
      <w:r>
        <w:rPr>
          <w:rFonts w:hint="eastAsia" w:ascii="Arial" w:hAnsi="Arial" w:cs="Arial"/>
          <w:b w:val="0"/>
          <w:bCs/>
          <w:sz w:val="20"/>
          <w:szCs w:val="20"/>
          <w:lang w:val="en-US" w:eastAsia="zh-CN"/>
        </w:rPr>
        <w:t>Regarding positioning accuracy enhancement use case, data collection for model inference via LPP is preferred for case 1, 2a and 2b with UE-side model or LMF-side model, and the sample procedure is shown in the Figure 2. Regarding data collection for</w:t>
      </w:r>
      <w:r>
        <w:rPr>
          <w:rFonts w:hint="eastAsia" w:ascii="Arial" w:hAnsi="Arial" w:cs="Arial"/>
          <w:b w:val="0"/>
          <w:bCs/>
          <w:sz w:val="20"/>
          <w:szCs w:val="20"/>
          <w:highlight w:val="none"/>
          <w:lang w:val="en-US" w:eastAsia="zh-CN"/>
        </w:rPr>
        <w:t xml:space="preserve"> model inference with gNB-side model</w:t>
      </w:r>
      <w:r>
        <w:rPr>
          <w:rFonts w:hint="eastAsia" w:ascii="Arial" w:hAnsi="Arial" w:cs="Arial"/>
          <w:b w:val="0"/>
          <w:bCs/>
          <w:sz w:val="20"/>
          <w:szCs w:val="20"/>
          <w:lang w:val="en-US" w:eastAsia="zh-CN"/>
        </w:rPr>
        <w:t>, TRP collects the data for model inference based on RAN1 agreements. For case 3b with LMF-side model, data collection for model inference from TRP to LMF via NRPPa is needed, but it is not in the scope of RAN2.</w:t>
      </w:r>
    </w:p>
    <w:tbl>
      <w:tblPr>
        <w:tblStyle w:val="1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1" w:type="dxa"/>
          </w:tcPr>
          <w:p>
            <w:pPr>
              <w:ind w:left="0" w:firstLine="0"/>
              <w:rPr>
                <w:rFonts w:hint="default" w:ascii="Times New Roman" w:hAnsi="Times New Roman" w:eastAsia="等线" w:cs="Times New Roman"/>
                <w:b/>
                <w:bCs/>
                <w:sz w:val="20"/>
                <w:szCs w:val="21"/>
                <w:highlight w:val="green"/>
                <w:lang w:eastAsia="zh-CN"/>
              </w:rPr>
            </w:pPr>
            <w:r>
              <w:rPr>
                <w:rFonts w:hint="eastAsia" w:ascii="Times New Roman" w:hAnsi="Times New Roman" w:eastAsia="等线" w:cs="Times New Roman"/>
                <w:b/>
                <w:bCs/>
                <w:sz w:val="20"/>
                <w:szCs w:val="21"/>
                <w:highlight w:val="green"/>
                <w:lang w:val="en-US" w:eastAsia="zh-CN"/>
              </w:rPr>
              <w:t xml:space="preserve">RAN1#111 </w:t>
            </w:r>
            <w:r>
              <w:rPr>
                <w:rFonts w:hint="default" w:ascii="Times New Roman" w:hAnsi="Times New Roman" w:eastAsia="等线" w:cs="Times New Roman"/>
                <w:b/>
                <w:bCs/>
                <w:sz w:val="20"/>
                <w:szCs w:val="21"/>
                <w:highlight w:val="green"/>
                <w:lang w:eastAsia="zh-CN"/>
              </w:rPr>
              <w:t>Agreement</w:t>
            </w:r>
          </w:p>
          <w:p>
            <w:pPr>
              <w:ind w:left="0" w:firstLine="0"/>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 xml:space="preserve">Regarding AI/ML </w:t>
            </w:r>
            <w:r>
              <w:rPr>
                <w:rFonts w:hint="default" w:ascii="Times New Roman" w:hAnsi="Times New Roman" w:cs="Times New Roman"/>
                <w:sz w:val="20"/>
                <w:szCs w:val="21"/>
                <w:highlight w:val="yellow"/>
                <w:lang w:eastAsia="zh-CN"/>
              </w:rPr>
              <w:t>model inference</w:t>
            </w:r>
            <w:r>
              <w:rPr>
                <w:rFonts w:hint="default" w:ascii="Times New Roman" w:hAnsi="Times New Roman" w:cs="Times New Roman"/>
                <w:sz w:val="20"/>
                <w:szCs w:val="21"/>
                <w:lang w:eastAsia="zh-CN"/>
              </w:rPr>
              <w:t>,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pPr>
              <w:numPr>
                <w:ilvl w:val="0"/>
                <w:numId w:val="20"/>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Types of measurement as model inference input</w:t>
            </w:r>
          </w:p>
          <w:p>
            <w:pPr>
              <w:numPr>
                <w:ilvl w:val="1"/>
                <w:numId w:val="20"/>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new measurement</w:t>
            </w:r>
          </w:p>
          <w:p>
            <w:pPr>
              <w:numPr>
                <w:ilvl w:val="1"/>
                <w:numId w:val="20"/>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existing measurement</w:t>
            </w:r>
          </w:p>
          <w:p>
            <w:pPr>
              <w:numPr>
                <w:ilvl w:val="0"/>
                <w:numId w:val="20"/>
              </w:numPr>
              <w:rPr>
                <w:rFonts w:hint="default" w:ascii="Times New Roman" w:hAnsi="Times New Roman" w:cs="Times New Roman"/>
                <w:color w:val="C00000"/>
                <w:sz w:val="20"/>
                <w:szCs w:val="18"/>
                <w:highlight w:val="none"/>
                <w:lang w:eastAsia="zh-CN"/>
              </w:rPr>
            </w:pPr>
            <w:r>
              <w:rPr>
                <w:rFonts w:hint="default" w:ascii="Times New Roman" w:hAnsi="Times New Roman" w:cs="Times New Roman"/>
                <w:color w:val="C00000"/>
                <w:sz w:val="20"/>
                <w:szCs w:val="18"/>
                <w:highlight w:val="none"/>
                <w:lang w:eastAsia="zh-CN"/>
              </w:rPr>
              <w:t>UE is assumed to perform measurement as model inference input for Case 1, Case 2a and Case 2b; TRP is assumed to perform measurement as model inference input for Case 3a and Case 3b</w:t>
            </w:r>
          </w:p>
          <w:p>
            <w:pPr>
              <w:numPr>
                <w:ilvl w:val="1"/>
                <w:numId w:val="20"/>
              </w:numPr>
              <w:rPr>
                <w:rFonts w:hint="default" w:ascii="Times New Roman" w:hAnsi="Times New Roman" w:cs="Times New Roman"/>
                <w:color w:val="C00000"/>
                <w:sz w:val="20"/>
                <w:szCs w:val="18"/>
                <w:highlight w:val="none"/>
                <w:lang w:eastAsia="zh-CN"/>
              </w:rPr>
            </w:pPr>
            <w:r>
              <w:rPr>
                <w:rFonts w:hint="default" w:ascii="Times New Roman" w:hAnsi="Times New Roman" w:cs="Times New Roman"/>
                <w:color w:val="C00000"/>
                <w:sz w:val="20"/>
                <w:szCs w:val="18"/>
                <w:highlight w:val="none"/>
                <w:lang w:eastAsia="zh-CN"/>
              </w:rPr>
              <w:t>Report of measurements as model inference input to LMF for LMF-side model (Case 2b and Case 3b)</w:t>
            </w:r>
          </w:p>
          <w:p>
            <w:pPr>
              <w:numPr>
                <w:ilvl w:val="0"/>
                <w:numId w:val="20"/>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For AI/ML assisted positioning, new measurement report and/or potential enhancement of existing measurement report as model output to LMF for UE-assisted (Case 2a) and NG-RAN node assisted positioning (Case 3a)</w:t>
            </w:r>
          </w:p>
          <w:p>
            <w:pPr>
              <w:numPr>
                <w:ilvl w:val="0"/>
                <w:numId w:val="20"/>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Assistance signaling and procedure to facilitate model inference for both UE-side and Network-side model</w:t>
            </w:r>
          </w:p>
          <w:p>
            <w:pPr>
              <w:numPr>
                <w:ilvl w:val="1"/>
                <w:numId w:val="20"/>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New and/or enhancement to existing assistance signaling</w:t>
            </w:r>
          </w:p>
          <w:p>
            <w:pPr>
              <w:numPr>
                <w:ilvl w:val="1"/>
                <w:numId w:val="20"/>
              </w:numPr>
              <w:rPr>
                <w:rFonts w:hint="default" w:ascii="Arial" w:hAnsi="Arial" w:cs="Arial"/>
                <w:b w:val="0"/>
                <w:bCs/>
                <w:sz w:val="20"/>
                <w:szCs w:val="20"/>
                <w:vertAlign w:val="baseline"/>
                <w:lang w:val="en-US" w:eastAsia="zh-CN"/>
              </w:rPr>
            </w:pPr>
            <w:r>
              <w:rPr>
                <w:rFonts w:hint="default" w:ascii="Times New Roman" w:hAnsi="Times New Roman" w:cs="Times New Roman"/>
                <w:sz w:val="20"/>
                <w:szCs w:val="18"/>
                <w:lang w:eastAsia="zh-CN"/>
              </w:rPr>
              <w:t>Note: whether such assistance signaling and procedure can be applied to other aspect(s) of AI/ML model LCM can also be discussed</w:t>
            </w:r>
          </w:p>
        </w:tc>
      </w:tr>
    </w:tbl>
    <w:p>
      <w:pPr>
        <w:ind w:firstLine="315" w:firstLineChars="150"/>
        <w:jc w:val="center"/>
      </w:pPr>
      <w:r>
        <w:drawing>
          <wp:inline distT="0" distB="0" distL="114300" distR="114300">
            <wp:extent cx="2214880" cy="2054860"/>
            <wp:effectExtent l="0" t="0" r="7620" b="254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2214880" cy="2054860"/>
                    </a:xfrm>
                    <a:prstGeom prst="rect">
                      <a:avLst/>
                    </a:prstGeom>
                    <a:noFill/>
                    <a:ln>
                      <a:noFill/>
                    </a:ln>
                  </pic:spPr>
                </pic:pic>
              </a:graphicData>
            </a:graphic>
          </wp:inline>
        </w:drawing>
      </w:r>
      <w:r>
        <w:t xml:space="preserve">        </w:t>
      </w:r>
      <w:r>
        <w:drawing>
          <wp:inline distT="0" distB="0" distL="114300" distR="114300">
            <wp:extent cx="2406650" cy="2036445"/>
            <wp:effectExtent l="0" t="0" r="6350" b="825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2406650" cy="2036445"/>
                    </a:xfrm>
                    <a:prstGeom prst="rect">
                      <a:avLst/>
                    </a:prstGeom>
                    <a:noFill/>
                    <a:ln>
                      <a:noFill/>
                    </a:ln>
                  </pic:spPr>
                </pic:pic>
              </a:graphicData>
            </a:graphic>
          </wp:inline>
        </w:drawing>
      </w:r>
    </w:p>
    <w:p>
      <w:pPr>
        <w:numPr>
          <w:ilvl w:val="0"/>
          <w:numId w:val="0"/>
        </w:numPr>
        <w:jc w:val="center"/>
        <w:rPr>
          <w:rFonts w:ascii="Times New Roman" w:hAnsi="Times New Roman"/>
          <w:sz w:val="20"/>
          <w:szCs w:val="20"/>
        </w:rPr>
      </w:pPr>
      <w:r>
        <w:rPr>
          <w:rFonts w:hint="eastAsia" w:ascii="Arial" w:hAnsi="Arial" w:cs="Arial"/>
          <w:sz w:val="20"/>
          <w:szCs w:val="21"/>
          <w:lang w:val="en-US" w:eastAsia="zh-CN"/>
        </w:rPr>
        <w:t xml:space="preserve">(a) </w:t>
      </w:r>
      <w:r>
        <w:rPr>
          <w:rFonts w:hint="default" w:ascii="Arial" w:hAnsi="Arial" w:cs="Arial"/>
          <w:sz w:val="20"/>
          <w:szCs w:val="21"/>
          <w:lang w:val="en-US" w:eastAsia="zh-CN"/>
        </w:rPr>
        <w:t xml:space="preserve">Model inference at LMF </w:t>
      </w:r>
      <w:r>
        <w:rPr>
          <w:rFonts w:hint="eastAsia" w:ascii="Times New Roman" w:hAnsi="Times New Roman"/>
          <w:sz w:val="20"/>
          <w:szCs w:val="20"/>
          <w:lang w:val="en-US" w:eastAsia="zh-CN"/>
        </w:rPr>
        <w:t xml:space="preserve"> </w:t>
      </w:r>
      <w:r>
        <w:rPr>
          <w:rFonts w:ascii="Times New Roman" w:hAnsi="Times New Roman"/>
          <w:sz w:val="20"/>
          <w:szCs w:val="20"/>
        </w:rPr>
        <w:t xml:space="preserve">             </w:t>
      </w:r>
      <w:r>
        <w:rPr>
          <w:rFonts w:hint="eastAsia" w:ascii="Times New Roman" w:hAnsi="Times New Roman"/>
          <w:sz w:val="20"/>
          <w:szCs w:val="20"/>
          <w:lang w:val="en-US" w:eastAsia="zh-CN"/>
        </w:rPr>
        <w:t xml:space="preserve"> </w:t>
      </w:r>
      <w:r>
        <w:rPr>
          <w:rFonts w:hint="default" w:ascii="Arial" w:hAnsi="Arial" w:cs="Arial"/>
          <w:sz w:val="20"/>
          <w:szCs w:val="21"/>
          <w:lang w:val="en-US" w:eastAsia="zh-CN"/>
        </w:rPr>
        <w:t xml:space="preserve"> </w:t>
      </w:r>
      <w:r>
        <w:rPr>
          <w:rFonts w:hint="eastAsia" w:ascii="Arial" w:hAnsi="Arial" w:cs="Arial"/>
          <w:sz w:val="20"/>
          <w:szCs w:val="21"/>
          <w:lang w:val="en-US" w:eastAsia="zh-CN"/>
        </w:rPr>
        <w:t>(b) M</w:t>
      </w:r>
      <w:r>
        <w:rPr>
          <w:rFonts w:hint="default" w:ascii="Arial" w:hAnsi="Arial" w:cs="Arial"/>
          <w:sz w:val="20"/>
          <w:szCs w:val="21"/>
          <w:lang w:val="en-US" w:eastAsia="zh-CN"/>
        </w:rPr>
        <w:t>odel inference at UE</w:t>
      </w:r>
    </w:p>
    <w:p>
      <w:pPr>
        <w:widowControl/>
        <w:spacing w:before="120" w:beforeLines="50" w:after="180"/>
        <w:jc w:val="center"/>
        <w:rPr>
          <w:rFonts w:hint="eastAsia" w:ascii="Arial" w:hAnsi="Arial" w:cs="Arial"/>
          <w:sz w:val="18"/>
          <w:szCs w:val="20"/>
          <w:lang w:val="en-US" w:eastAsia="zh-CN"/>
        </w:rPr>
      </w:pPr>
      <w:r>
        <w:rPr>
          <w:rFonts w:hint="eastAsia" w:ascii="Arial" w:hAnsi="Arial" w:cs="Arial"/>
          <w:sz w:val="18"/>
          <w:szCs w:val="20"/>
          <w:lang w:val="en-US" w:eastAsia="zh-CN"/>
        </w:rPr>
        <w:t>Figure 2. Basic flow for positioning</w:t>
      </w:r>
    </w:p>
    <w:p>
      <w:pPr>
        <w:widowControl/>
        <w:spacing w:before="120" w:beforeLines="50" w:after="180"/>
        <w:rPr>
          <w:rFonts w:hint="default" w:ascii="Arial" w:hAnsi="Arial" w:cs="Arial"/>
          <w:sz w:val="20"/>
          <w:szCs w:val="21"/>
          <w:lang w:val="en-US" w:eastAsia="zh-CN"/>
        </w:rPr>
      </w:pPr>
      <w:r>
        <w:rPr>
          <w:rFonts w:hint="eastAsia" w:ascii="Arial" w:hAnsi="Arial" w:cs="Arial"/>
          <w:sz w:val="20"/>
          <w:szCs w:val="21"/>
          <w:lang w:val="en-US" w:eastAsia="zh-CN"/>
        </w:rPr>
        <w:t>Based on the above analysis, we propose to further study the following data collection frameworks per use case for model inference. Of course, other framework is not precluded. T</w:t>
      </w:r>
      <w:r>
        <w:rPr>
          <w:rFonts w:hint="eastAsia" w:ascii="Arial" w:hAnsi="Arial" w:cs="Arial"/>
          <w:b w:val="0"/>
          <w:bCs/>
          <w:sz w:val="20"/>
          <w:szCs w:val="20"/>
          <w:lang w:val="en-US" w:eastAsia="zh-CN"/>
        </w:rPr>
        <w:t>he specific framework for each use case should be further discussed and decided after RAN1 has efficient progress.</w:t>
      </w:r>
    </w:p>
    <w:p>
      <w:pPr>
        <w:keepNext w:val="0"/>
        <w:keepLines w:val="0"/>
        <w:pageBreakBefore w:val="0"/>
        <w:widowControl w:val="0"/>
        <w:kinsoku/>
        <w:wordWrap/>
        <w:overflowPunct/>
        <w:topLinePunct w:val="0"/>
        <w:autoSpaceDE/>
        <w:autoSpaceDN/>
        <w:bidi w:val="0"/>
        <w:adjustRightInd/>
        <w:snapToGrid/>
        <w:spacing w:after="0" w:afterLines="50"/>
        <w:jc w:val="center"/>
        <w:textAlignment w:val="auto"/>
        <w:rPr>
          <w:rFonts w:hint="default" w:ascii="Arial" w:hAnsi="Arial" w:cs="Arial" w:eastAsiaTheme="minorEastAsia"/>
          <w:b w:val="0"/>
          <w:bCs/>
          <w:sz w:val="20"/>
          <w:szCs w:val="20"/>
          <w:lang w:val="en-US" w:eastAsia="zh-CN"/>
        </w:rPr>
      </w:pPr>
      <w:r>
        <w:rPr>
          <w:rFonts w:hint="default" w:ascii="Arial" w:hAnsi="Arial" w:cs="Arial" w:eastAsiaTheme="minorEastAsia"/>
          <w:b w:val="0"/>
          <w:bCs/>
          <w:sz w:val="20"/>
          <w:szCs w:val="20"/>
          <w:lang w:eastAsia="zh-CN"/>
        </w:rPr>
        <w:t>Table</w:t>
      </w:r>
      <w:r>
        <w:rPr>
          <w:rFonts w:hint="eastAsia" w:ascii="Arial" w:hAnsi="Arial" w:cs="Arial"/>
          <w:b w:val="0"/>
          <w:bCs/>
          <w:sz w:val="20"/>
          <w:szCs w:val="20"/>
          <w:lang w:val="en-US" w:eastAsia="zh-CN"/>
        </w:rPr>
        <w:t xml:space="preserve"> 2</w:t>
      </w:r>
      <w:r>
        <w:rPr>
          <w:rFonts w:hint="default" w:ascii="Arial" w:hAnsi="Arial" w:cs="Arial" w:eastAsiaTheme="minorEastAsia"/>
          <w:b w:val="0"/>
          <w:bCs/>
          <w:sz w:val="20"/>
          <w:szCs w:val="20"/>
          <w:lang w:eastAsia="zh-CN"/>
        </w:rPr>
        <w:t xml:space="preserve">: </w:t>
      </w:r>
      <w:r>
        <w:rPr>
          <w:rFonts w:hint="eastAsia" w:ascii="Arial" w:hAnsi="Arial" w:cs="Arial"/>
          <w:b w:val="0"/>
          <w:bCs/>
          <w:sz w:val="20"/>
          <w:szCs w:val="20"/>
          <w:lang w:val="en-US" w:eastAsia="zh-CN"/>
        </w:rPr>
        <w:t xml:space="preserve">the </w:t>
      </w:r>
      <w:r>
        <w:rPr>
          <w:rFonts w:hint="default" w:ascii="Arial" w:hAnsi="Arial" w:cs="Arial" w:eastAsiaTheme="minorEastAsia"/>
          <w:b w:val="0"/>
          <w:bCs/>
          <w:sz w:val="20"/>
          <w:szCs w:val="20"/>
          <w:lang w:eastAsia="zh-CN"/>
        </w:rPr>
        <w:t xml:space="preserve">relation between </w:t>
      </w:r>
      <w:r>
        <w:rPr>
          <w:rFonts w:hint="eastAsia" w:ascii="Arial" w:hAnsi="Arial" w:cs="Arial"/>
          <w:b w:val="0"/>
          <w:bCs/>
          <w:sz w:val="20"/>
          <w:szCs w:val="20"/>
          <w:vertAlign w:val="baseline"/>
          <w:lang w:val="en-US" w:eastAsia="zh-CN"/>
        </w:rPr>
        <w:t xml:space="preserve">data collection </w:t>
      </w:r>
      <w:r>
        <w:rPr>
          <w:rFonts w:hint="eastAsia" w:ascii="Arial" w:hAnsi="Arial" w:cs="Arial"/>
          <w:b w:val="0"/>
          <w:bCs/>
          <w:sz w:val="20"/>
          <w:szCs w:val="20"/>
          <w:lang w:val="en-US" w:eastAsia="zh-CN"/>
        </w:rPr>
        <w:t>framework</w:t>
      </w:r>
      <w:r>
        <w:rPr>
          <w:rFonts w:hint="default" w:ascii="Arial" w:hAnsi="Arial" w:cs="Arial" w:eastAsiaTheme="minorEastAsia"/>
          <w:b w:val="0"/>
          <w:bCs/>
          <w:sz w:val="20"/>
          <w:szCs w:val="20"/>
          <w:lang w:eastAsia="zh-CN"/>
        </w:rPr>
        <w:t>s and use cases</w:t>
      </w:r>
      <w:r>
        <w:rPr>
          <w:rFonts w:hint="eastAsia" w:ascii="Arial" w:hAnsi="Arial" w:cs="Arial"/>
          <w:b w:val="0"/>
          <w:bCs/>
          <w:sz w:val="20"/>
          <w:szCs w:val="20"/>
          <w:lang w:val="en-US" w:eastAsia="zh-CN"/>
        </w:rPr>
        <w:t xml:space="preserve"> for model inference</w:t>
      </w:r>
    </w:p>
    <w:tbl>
      <w:tblPr>
        <w:tblStyle w:val="14"/>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18"/>
        <w:gridCol w:w="6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518"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Arial" w:hAnsi="Arial" w:cs="Arial"/>
                <w:b/>
                <w:bCs w:val="0"/>
                <w:sz w:val="20"/>
                <w:szCs w:val="20"/>
                <w:vertAlign w:val="baseline"/>
                <w:lang w:val="en-US" w:eastAsia="zh-CN"/>
              </w:rPr>
            </w:pPr>
            <w:r>
              <w:rPr>
                <w:rFonts w:hint="eastAsia" w:ascii="Arial" w:hAnsi="Arial" w:cs="Arial"/>
                <w:b/>
                <w:bCs w:val="0"/>
                <w:sz w:val="20"/>
                <w:szCs w:val="20"/>
                <w:vertAlign w:val="baseline"/>
                <w:lang w:val="en-US" w:eastAsia="zh-CN"/>
              </w:rPr>
              <w:t>Use case</w:t>
            </w:r>
          </w:p>
        </w:tc>
        <w:tc>
          <w:tcPr>
            <w:tcW w:w="6103"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Arial" w:hAnsi="Arial" w:cs="Arial"/>
                <w:b/>
                <w:bCs w:val="0"/>
                <w:sz w:val="20"/>
                <w:szCs w:val="20"/>
                <w:vertAlign w:val="baseline"/>
                <w:lang w:val="en-US" w:eastAsia="zh-CN"/>
              </w:rPr>
            </w:pPr>
            <w:r>
              <w:rPr>
                <w:rFonts w:hint="eastAsia" w:ascii="Arial" w:hAnsi="Arial" w:cs="Arial"/>
                <w:b/>
                <w:bCs w:val="0"/>
                <w:sz w:val="20"/>
                <w:szCs w:val="20"/>
                <w:vertAlign w:val="baseline"/>
                <w:lang w:val="en-US" w:eastAsia="zh-CN"/>
              </w:rPr>
              <w:t>Potential data collection framework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8"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Arial" w:hAnsi="Arial" w:cs="Arial"/>
                <w:b w:val="0"/>
                <w:bCs/>
                <w:sz w:val="20"/>
                <w:szCs w:val="20"/>
                <w:vertAlign w:val="baseline"/>
                <w:lang w:val="en-US" w:eastAsia="zh-CN"/>
              </w:rPr>
            </w:pPr>
            <w:r>
              <w:rPr>
                <w:rFonts w:hint="eastAsia" w:ascii="Arial" w:hAnsi="Arial" w:cs="Arial"/>
                <w:b w:val="0"/>
                <w:bCs/>
                <w:sz w:val="20"/>
                <w:szCs w:val="20"/>
                <w:vertAlign w:val="baseline"/>
                <w:lang w:val="en-US" w:eastAsia="zh-CN"/>
              </w:rPr>
              <w:t>CSI feedback enhancement</w:t>
            </w:r>
          </w:p>
        </w:tc>
        <w:tc>
          <w:tcPr>
            <w:tcW w:w="6103" w:type="dxa"/>
          </w:tcPr>
          <w:p>
            <w:pPr>
              <w:keepNext w:val="0"/>
              <w:keepLines w:val="0"/>
              <w:pageBreakBefore w:val="0"/>
              <w:widowControl w:val="0"/>
              <w:numPr>
                <w:ilvl w:val="0"/>
                <w:numId w:val="21"/>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L1 measurement (CSI reporting) (preferred)</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immediate MDT </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L3 measurement </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vertAlign w:val="baseline"/>
                <w:lang w:val="en-US" w:eastAsia="zh-CN"/>
              </w:rPr>
            </w:pPr>
            <w:r>
              <w:rPr>
                <w:rFonts w:hint="eastAsia" w:ascii="Arial" w:hAnsi="Arial" w:cs="Arial"/>
                <w:b w:val="0"/>
                <w:bCs/>
                <w:sz w:val="20"/>
                <w:szCs w:val="20"/>
                <w:lang w:val="en-US" w:eastAsia="zh-CN"/>
              </w:rPr>
              <w:t>UAI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8"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Arial" w:hAnsi="Arial" w:cs="Arial"/>
                <w:b w:val="0"/>
                <w:bCs/>
                <w:sz w:val="20"/>
                <w:szCs w:val="20"/>
                <w:vertAlign w:val="baseline"/>
                <w:lang w:val="en-US" w:eastAsia="zh-CN"/>
              </w:rPr>
            </w:pPr>
            <w:r>
              <w:rPr>
                <w:rFonts w:hint="eastAsia" w:ascii="Arial" w:hAnsi="Arial" w:cs="Arial"/>
                <w:b w:val="0"/>
                <w:bCs/>
                <w:sz w:val="20"/>
                <w:szCs w:val="20"/>
                <w:vertAlign w:val="baseline"/>
                <w:lang w:val="en-US" w:eastAsia="zh-CN"/>
              </w:rPr>
              <w:t>Beam management</w:t>
            </w:r>
          </w:p>
        </w:tc>
        <w:tc>
          <w:tcPr>
            <w:tcW w:w="6103" w:type="dxa"/>
          </w:tcPr>
          <w:p>
            <w:pPr>
              <w:keepNext w:val="0"/>
              <w:keepLines w:val="0"/>
              <w:pageBreakBefore w:val="0"/>
              <w:widowControl w:val="0"/>
              <w:numPr>
                <w:ilvl w:val="0"/>
                <w:numId w:val="22"/>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vertAlign w:val="baseline"/>
                <w:lang w:val="en-US" w:eastAsia="zh-CN"/>
              </w:rPr>
            </w:pPr>
            <w:r>
              <w:rPr>
                <w:rFonts w:hint="eastAsia" w:ascii="Arial" w:hAnsi="Arial" w:cs="Arial"/>
                <w:b w:val="0"/>
                <w:bCs/>
                <w:sz w:val="20"/>
                <w:szCs w:val="20"/>
                <w:lang w:val="en-US" w:eastAsia="zh-CN"/>
              </w:rPr>
              <w:t>L1 reporting (preferred)</w:t>
            </w:r>
          </w:p>
          <w:p>
            <w:pPr>
              <w:keepNext w:val="0"/>
              <w:keepLines w:val="0"/>
              <w:pageBreakBefore w:val="0"/>
              <w:widowControl w:val="0"/>
              <w:numPr>
                <w:ilvl w:val="0"/>
                <w:numId w:val="22"/>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L3 measurement</w:t>
            </w:r>
          </w:p>
          <w:p>
            <w:pPr>
              <w:keepNext w:val="0"/>
              <w:keepLines w:val="0"/>
              <w:pageBreakBefore w:val="0"/>
              <w:widowControl w:val="0"/>
              <w:numPr>
                <w:ilvl w:val="0"/>
                <w:numId w:val="22"/>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immediate MDT </w:t>
            </w:r>
          </w:p>
          <w:p>
            <w:pPr>
              <w:keepNext w:val="0"/>
              <w:keepLines w:val="0"/>
              <w:pageBreakBefore w:val="0"/>
              <w:widowControl w:val="0"/>
              <w:numPr>
                <w:ilvl w:val="0"/>
                <w:numId w:val="22"/>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vertAlign w:val="baseline"/>
                <w:lang w:val="en-US" w:eastAsia="zh-CN"/>
              </w:rPr>
            </w:pPr>
            <w:r>
              <w:rPr>
                <w:rFonts w:hint="eastAsia" w:ascii="Arial" w:hAnsi="Arial" w:cs="Arial"/>
                <w:b w:val="0"/>
                <w:bCs/>
                <w:sz w:val="20"/>
                <w:szCs w:val="20"/>
                <w:lang w:val="en-US" w:eastAsia="zh-CN"/>
              </w:rPr>
              <w:t>UAI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8"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Arial" w:hAnsi="Arial" w:cs="Arial"/>
                <w:b w:val="0"/>
                <w:bCs/>
                <w:sz w:val="20"/>
                <w:szCs w:val="20"/>
                <w:vertAlign w:val="baseline"/>
                <w:lang w:val="en-US" w:eastAsia="zh-CN"/>
              </w:rPr>
            </w:pPr>
            <w:r>
              <w:rPr>
                <w:rFonts w:hint="eastAsia" w:ascii="Arial" w:hAnsi="Arial" w:cs="Arial"/>
                <w:b w:val="0"/>
                <w:bCs/>
                <w:sz w:val="20"/>
                <w:szCs w:val="20"/>
                <w:vertAlign w:val="baseline"/>
                <w:lang w:val="en-US" w:eastAsia="zh-CN"/>
              </w:rPr>
              <w:t>Positioning accuracy enhancement</w:t>
            </w:r>
          </w:p>
        </w:tc>
        <w:tc>
          <w:tcPr>
            <w:tcW w:w="6103" w:type="dxa"/>
          </w:tcPr>
          <w:p>
            <w:pPr>
              <w:keepNext w:val="0"/>
              <w:keepLines w:val="0"/>
              <w:pageBreakBefore w:val="0"/>
              <w:widowControl w:val="0"/>
              <w:numPr>
                <w:ilvl w:val="0"/>
                <w:numId w:val="23"/>
              </w:numPr>
              <w:kinsoku/>
              <w:wordWrap/>
              <w:overflowPunct/>
              <w:topLinePunct w:val="0"/>
              <w:autoSpaceDE/>
              <w:autoSpaceDN/>
              <w:bidi w:val="0"/>
              <w:adjustRightInd/>
              <w:snapToGrid/>
              <w:spacing w:line="240" w:lineRule="auto"/>
              <w:ind w:left="425" w:leftChars="0" w:hanging="425" w:firstLineChars="0"/>
              <w:jc w:val="both"/>
              <w:textAlignment w:val="auto"/>
              <w:rPr>
                <w:rFonts w:hint="default" w:ascii="Arial" w:hAnsi="Arial" w:cs="Arial"/>
                <w:b w:val="0"/>
                <w:bCs/>
                <w:sz w:val="20"/>
                <w:szCs w:val="20"/>
                <w:lang w:val="en-US" w:eastAsia="zh-CN"/>
              </w:rPr>
            </w:pPr>
            <w:r>
              <w:rPr>
                <w:rFonts w:hint="eastAsia" w:ascii="Arial" w:hAnsi="Arial" w:cs="Arial"/>
                <w:b w:val="0"/>
                <w:bCs/>
                <w:sz w:val="20"/>
                <w:szCs w:val="20"/>
                <w:lang w:val="en-US" w:eastAsia="zh-CN"/>
              </w:rPr>
              <w:t>LPP (preferred for UE-side model and LMF-side model)</w:t>
            </w:r>
          </w:p>
          <w:p>
            <w:pPr>
              <w:keepNext w:val="0"/>
              <w:keepLines w:val="0"/>
              <w:pageBreakBefore w:val="0"/>
              <w:widowControl w:val="0"/>
              <w:numPr>
                <w:ilvl w:val="0"/>
                <w:numId w:val="23"/>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immediate MDT </w:t>
            </w:r>
          </w:p>
          <w:p>
            <w:pPr>
              <w:keepNext w:val="0"/>
              <w:keepLines w:val="0"/>
              <w:pageBreakBefore w:val="0"/>
              <w:widowControl w:val="0"/>
              <w:numPr>
                <w:ilvl w:val="0"/>
                <w:numId w:val="23"/>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L3 measurement </w:t>
            </w:r>
          </w:p>
          <w:p>
            <w:pPr>
              <w:keepNext w:val="0"/>
              <w:keepLines w:val="0"/>
              <w:pageBreakBefore w:val="0"/>
              <w:widowControl w:val="0"/>
              <w:numPr>
                <w:ilvl w:val="0"/>
                <w:numId w:val="23"/>
              </w:numPr>
              <w:kinsoku/>
              <w:wordWrap/>
              <w:overflowPunct/>
              <w:topLinePunct w:val="0"/>
              <w:autoSpaceDE/>
              <w:autoSpaceDN/>
              <w:bidi w:val="0"/>
              <w:adjustRightInd/>
              <w:snapToGrid/>
              <w:spacing w:line="240" w:lineRule="auto"/>
              <w:ind w:left="425" w:leftChars="0" w:hanging="425" w:firstLineChars="0"/>
              <w:jc w:val="both"/>
              <w:textAlignment w:val="auto"/>
              <w:rPr>
                <w:rFonts w:hint="default" w:ascii="Arial" w:hAnsi="Arial" w:cs="Arial"/>
                <w:b w:val="0"/>
                <w:bCs/>
                <w:sz w:val="20"/>
                <w:szCs w:val="20"/>
                <w:lang w:val="en-US" w:eastAsia="zh-CN"/>
              </w:rPr>
            </w:pPr>
            <w:r>
              <w:rPr>
                <w:rFonts w:hint="eastAsia" w:ascii="Arial" w:hAnsi="Arial" w:cs="Arial"/>
                <w:b w:val="0"/>
                <w:bCs/>
                <w:sz w:val="20"/>
                <w:szCs w:val="20"/>
                <w:lang w:val="en-US" w:eastAsia="zh-CN"/>
              </w:rPr>
              <w:t>UAI</w:t>
            </w:r>
          </w:p>
        </w:tc>
      </w:tr>
    </w:tbl>
    <w:p>
      <w:pPr>
        <w:spacing w:before="120" w:beforeLines="50" w:after="120" w:line="260" w:lineRule="exact"/>
        <w:rPr>
          <w:rFonts w:hint="default" w:ascii="Arial" w:hAnsi="Arial" w:cs="Arial"/>
          <w:sz w:val="20"/>
          <w:szCs w:val="21"/>
          <w:lang w:val="en-US" w:eastAsia="zh-CN"/>
        </w:rPr>
      </w:pPr>
      <w:r>
        <w:rPr>
          <w:rFonts w:hint="eastAsia" w:ascii="Arial" w:hAnsi="Arial" w:eastAsia="宋体" w:cs="Arial"/>
          <w:b/>
          <w:bCs/>
          <w:kern w:val="0"/>
          <w:sz w:val="20"/>
          <w:szCs w:val="20"/>
          <w:lang w:val="en-US" w:eastAsia="zh-CN"/>
        </w:rPr>
        <w:t>Proposal 9: For model inference, the potential data collection frameworks for each use case in Table 2 can be further discussed. Other framework is not precluded.</w:t>
      </w:r>
    </w:p>
    <w:p>
      <w:pPr>
        <w:widowControl/>
        <w:spacing w:before="120" w:beforeLines="50" w:after="180"/>
        <w:rPr>
          <w:rFonts w:hint="default" w:ascii="Arial" w:hAnsi="Arial" w:cs="Arial"/>
          <w:sz w:val="20"/>
          <w:szCs w:val="21"/>
          <w:lang w:val="en-US" w:eastAsia="zh-CN"/>
        </w:rPr>
      </w:pPr>
    </w:p>
    <w:p>
      <w:pPr>
        <w:widowControl/>
        <w:spacing w:after="180"/>
        <w:outlineLvl w:val="1"/>
        <w:rPr>
          <w:rFonts w:hint="default" w:ascii="Arial" w:hAnsi="Arial" w:eastAsia="宋体" w:cs="Arial"/>
          <w:kern w:val="0"/>
          <w:sz w:val="32"/>
          <w:szCs w:val="18"/>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4</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Data collection for model monitoring</w:t>
      </w:r>
    </w:p>
    <w:p>
      <w:pPr>
        <w:pStyle w:val="8"/>
        <w:rPr>
          <w:rFonts w:hint="default" w:ascii="Arial" w:hAnsi="Arial" w:eastAsia="等线" w:cs="Arial"/>
          <w:sz w:val="20"/>
          <w:szCs w:val="21"/>
          <w:lang w:val="en-US" w:eastAsia="zh-CN"/>
        </w:rPr>
      </w:pPr>
      <w:r>
        <w:rPr>
          <w:rFonts w:hint="eastAsia" w:ascii="Arial" w:hAnsi="Arial" w:cs="Arial"/>
          <w:b w:val="0"/>
          <w:bCs/>
          <w:sz w:val="20"/>
          <w:szCs w:val="20"/>
          <w:lang w:val="en-US" w:eastAsia="zh-CN"/>
        </w:rPr>
        <w:t>For model monitoring, we understand the latency is not a key requirement since it usually needs some time to evaluate model/system performance, e.g. calculate different KPIs for each use case. The details of performance metrics per use case are still under RAN1 discussion. W</w:t>
      </w:r>
      <w:r>
        <w:rPr>
          <w:rFonts w:hint="eastAsia" w:ascii="Arial" w:hAnsi="Arial" w:eastAsia="等线" w:cs="Arial"/>
          <w:sz w:val="20"/>
          <w:szCs w:val="21"/>
          <w:lang w:val="en-US" w:eastAsia="zh-CN"/>
        </w:rPr>
        <w:t>e think the potential data collection frameworks can be further studied based on RAN1 progress on performance metrics.</w:t>
      </w:r>
    </w:p>
    <w:p>
      <w:pPr>
        <w:pStyle w:val="8"/>
        <w:rPr>
          <w:rFonts w:hint="default" w:ascii="Arial" w:hAnsi="Arial" w:eastAsia="等线" w:cs="Arial"/>
          <w:sz w:val="20"/>
          <w:szCs w:val="21"/>
          <w:lang w:val="en-US" w:eastAsia="zh-CN"/>
        </w:rPr>
      </w:pPr>
      <w:r>
        <w:rPr>
          <w:rFonts w:hint="eastAsia" w:ascii="Arial" w:hAnsi="Arial" w:eastAsia="等线" w:cs="Arial"/>
          <w:sz w:val="20"/>
          <w:szCs w:val="21"/>
          <w:lang w:val="en-US" w:eastAsia="zh-CN"/>
        </w:rPr>
        <w:t>Regarding CSI compression with two-sided model, network monitors the performance of NW-side model, UE monitors the performance of UE-side model and reports to network. For the moment, the existing frameworks in connected state can be further studied.</w:t>
      </w:r>
    </w:p>
    <w:tbl>
      <w:tblPr>
        <w:tblStyle w:val="14"/>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1" w:type="dxa"/>
          </w:tcPr>
          <w:p>
            <w:pPr>
              <w:pStyle w:val="29"/>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default" w:ascii="Times New Roman" w:hAnsi="Times New Roman" w:cs="Times New Roman"/>
                <w:sz w:val="20"/>
                <w:szCs w:val="20"/>
                <w:highlight w:val="green"/>
                <w:lang w:val="en-US" w:eastAsia="zh-CN"/>
              </w:rPr>
            </w:pPr>
            <w:r>
              <w:rPr>
                <w:rFonts w:hint="default" w:ascii="Times New Roman" w:hAnsi="Times New Roman" w:cs="Times New Roman"/>
                <w:sz w:val="20"/>
                <w:szCs w:val="20"/>
                <w:highlight w:val="green"/>
                <w:lang w:val="en-US" w:eastAsia="zh-CN"/>
              </w:rPr>
              <w:t>RAN1#11</w:t>
            </w:r>
            <w:r>
              <w:rPr>
                <w:rFonts w:hint="eastAsia" w:ascii="Times New Roman" w:hAnsi="Times New Roman" w:cs="Times New Roman"/>
                <w:sz w:val="20"/>
                <w:szCs w:val="20"/>
                <w:highlight w:val="green"/>
                <w:lang w:val="en-US" w:eastAsia="zh-CN"/>
              </w:rPr>
              <w:t>0bis</w:t>
            </w:r>
            <w:r>
              <w:rPr>
                <w:rFonts w:hint="default" w:ascii="Times New Roman" w:hAnsi="Times New Roman" w:cs="Times New Roman"/>
                <w:sz w:val="20"/>
                <w:szCs w:val="20"/>
                <w:highlight w:val="green"/>
                <w:lang w:val="en-US" w:eastAsia="zh-CN"/>
              </w:rPr>
              <w:t xml:space="preserve"> </w:t>
            </w:r>
            <w:r>
              <w:rPr>
                <w:rFonts w:hint="eastAsia" w:ascii="Times New Roman" w:hAnsi="Times New Roman" w:cs="Times New Roman"/>
                <w:sz w:val="20"/>
                <w:szCs w:val="20"/>
                <w:highlight w:val="green"/>
                <w:lang w:val="en-US" w:eastAsia="zh-CN"/>
              </w:rPr>
              <w:t>Agreement</w:t>
            </w:r>
          </w:p>
          <w:p>
            <w:pPr>
              <w:keepNext w:val="0"/>
              <w:keepLines w:val="0"/>
              <w:pageBreakBefore w:val="0"/>
              <w:widowControl w:val="0"/>
              <w:numPr>
                <w:ilvl w:val="0"/>
                <w:numId w:val="24"/>
              </w:numPr>
              <w:kinsoku/>
              <w:wordWrap/>
              <w:overflowPunct w:val="0"/>
              <w:topLinePunct w:val="0"/>
              <w:autoSpaceDE w:val="0"/>
              <w:autoSpaceDN w:val="0"/>
              <w:bidi w:val="0"/>
              <w:adjustRightInd w:val="0"/>
              <w:snapToGrid/>
              <w:spacing w:before="0" w:beforeAutospacing="0" w:line="240" w:lineRule="auto"/>
              <w:ind w:left="726" w:hanging="363"/>
              <w:textAlignment w:val="baseline"/>
              <w:rPr>
                <w:rFonts w:hint="default" w:ascii="Times New Roman" w:hAnsi="Times New Roman" w:cs="Times New Roman"/>
                <w:i w:val="0"/>
                <w:iCs w:val="0"/>
                <w:sz w:val="20"/>
                <w:szCs w:val="18"/>
              </w:rPr>
            </w:pPr>
            <w:r>
              <w:rPr>
                <w:rFonts w:hint="default" w:ascii="Times New Roman" w:hAnsi="Times New Roman" w:cs="Times New Roman"/>
                <w:i w:val="0"/>
                <w:iCs w:val="0"/>
                <w:sz w:val="20"/>
                <w:szCs w:val="18"/>
              </w:rPr>
              <w:t xml:space="preserve">NW-side performance monitoring: NW monitors the performance and make decisions of model activation/ deactivation/updating/switching    </w:t>
            </w:r>
          </w:p>
          <w:p>
            <w:pPr>
              <w:keepNext w:val="0"/>
              <w:keepLines w:val="0"/>
              <w:pageBreakBefore w:val="0"/>
              <w:widowControl w:val="0"/>
              <w:numPr>
                <w:ilvl w:val="0"/>
                <w:numId w:val="24"/>
              </w:numPr>
              <w:kinsoku/>
              <w:wordWrap/>
              <w:overflowPunct w:val="0"/>
              <w:topLinePunct w:val="0"/>
              <w:autoSpaceDE w:val="0"/>
              <w:autoSpaceDN w:val="0"/>
              <w:bidi w:val="0"/>
              <w:adjustRightInd w:val="0"/>
              <w:snapToGrid/>
              <w:spacing w:before="0" w:beforeAutospacing="0" w:line="240" w:lineRule="auto"/>
              <w:ind w:left="726" w:hanging="363"/>
              <w:textAlignment w:val="baseline"/>
              <w:rPr>
                <w:rFonts w:hint="eastAsia" w:ascii="Arial" w:hAnsi="Arial" w:eastAsia="等线" w:cs="Arial"/>
                <w:sz w:val="20"/>
                <w:szCs w:val="21"/>
                <w:vertAlign w:val="baseline"/>
                <w:lang w:val="en-US" w:eastAsia="zh-CN"/>
              </w:rPr>
            </w:pPr>
            <w:r>
              <w:rPr>
                <w:rFonts w:hint="default" w:ascii="Times New Roman" w:hAnsi="Times New Roman" w:cs="Times New Roman"/>
                <w:i w:val="0"/>
                <w:iCs w:val="0"/>
                <w:sz w:val="20"/>
                <w:szCs w:val="18"/>
              </w:rPr>
              <w:t xml:space="preserve">UE-side performance monitoring: UE monitors the performance and reports to Network, NW makes decisions of model activation/ deactivation/updating/switching  </w:t>
            </w:r>
          </w:p>
        </w:tc>
      </w:tr>
    </w:tbl>
    <w:p>
      <w:pPr>
        <w:pStyle w:val="8"/>
        <w:keepNext w:val="0"/>
        <w:keepLines w:val="0"/>
        <w:pageBreakBefore w:val="0"/>
        <w:widowControl w:val="0"/>
        <w:kinsoku/>
        <w:wordWrap/>
        <w:overflowPunct/>
        <w:topLinePunct w:val="0"/>
        <w:autoSpaceDE/>
        <w:autoSpaceDN/>
        <w:bidi w:val="0"/>
        <w:adjustRightInd/>
        <w:snapToGrid/>
        <w:spacing w:before="0" w:beforeLines="50"/>
        <w:textAlignment w:val="auto"/>
        <w:rPr>
          <w:rFonts w:hint="default" w:ascii="Arial" w:hAnsi="Arial" w:eastAsia="等线" w:cs="Arial"/>
          <w:sz w:val="20"/>
          <w:szCs w:val="21"/>
          <w:lang w:val="en-US" w:eastAsia="zh-CN"/>
        </w:rPr>
      </w:pPr>
      <w:r>
        <w:rPr>
          <w:rFonts w:hint="eastAsia" w:ascii="Arial" w:hAnsi="Arial" w:eastAsia="等线" w:cs="Arial"/>
          <w:sz w:val="20"/>
          <w:szCs w:val="21"/>
          <w:lang w:val="en-US" w:eastAsia="zh-CN"/>
        </w:rPr>
        <w:t xml:space="preserve">Regarding beam management with NW-side model, RRC signaling or L1 signaling can be applicable for model monitoring based on RAN1 agreement. Similarly, for network monitoring a UE-side model, the same signaling can also be used. Thus, at least L1 reporting, L3 measurement, immediate MDT and UAI can be further studied. </w:t>
      </w:r>
    </w:p>
    <w:tbl>
      <w:tblPr>
        <w:tblStyle w:val="14"/>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9" w:type="dxa"/>
          </w:tcPr>
          <w:p>
            <w:pPr>
              <w:pStyle w:val="29"/>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eastAsia" w:ascii="Times New Roman" w:hAnsi="Times New Roman" w:cs="Times New Roman"/>
                <w:sz w:val="21"/>
                <w:szCs w:val="21"/>
                <w:highlight w:val="green"/>
                <w:lang w:val="en-GB" w:eastAsia="zh-CN"/>
              </w:rPr>
            </w:pPr>
            <w:r>
              <w:rPr>
                <w:rFonts w:hint="default" w:ascii="Times New Roman" w:hAnsi="Times New Roman" w:cs="Times New Roman"/>
                <w:sz w:val="21"/>
                <w:szCs w:val="21"/>
                <w:highlight w:val="green"/>
                <w:lang w:val="en-GB" w:eastAsia="en-GB"/>
              </w:rPr>
              <w:t>RAN1#1</w:t>
            </w:r>
            <w:r>
              <w:rPr>
                <w:rFonts w:hint="default" w:ascii="Times New Roman" w:hAnsi="Times New Roman" w:cs="Times New Roman"/>
                <w:sz w:val="21"/>
                <w:szCs w:val="21"/>
                <w:highlight w:val="green"/>
                <w:lang w:val="en-GB" w:eastAsia="zh-CN"/>
              </w:rPr>
              <w:t>1</w:t>
            </w:r>
            <w:r>
              <w:rPr>
                <w:rFonts w:hint="eastAsia" w:ascii="Times New Roman" w:hAnsi="Times New Roman" w:cs="Times New Roman"/>
                <w:sz w:val="21"/>
                <w:szCs w:val="21"/>
                <w:highlight w:val="green"/>
                <w:lang w:val="en-US" w:eastAsia="zh-CN"/>
              </w:rPr>
              <w:t xml:space="preserve">1 </w:t>
            </w:r>
            <w:r>
              <w:rPr>
                <w:rFonts w:hint="eastAsia" w:ascii="Times New Roman" w:hAnsi="Times New Roman" w:cs="Times New Roman"/>
                <w:sz w:val="21"/>
                <w:szCs w:val="21"/>
                <w:highlight w:val="green"/>
                <w:lang w:val="en-GB" w:eastAsia="zh-CN"/>
              </w:rPr>
              <w:t>A</w:t>
            </w:r>
            <w:r>
              <w:rPr>
                <w:rFonts w:hint="default" w:ascii="Times New Roman" w:hAnsi="Times New Roman" w:cs="Times New Roman"/>
                <w:sz w:val="21"/>
                <w:szCs w:val="21"/>
                <w:highlight w:val="green"/>
                <w:lang w:val="en-GB" w:eastAsia="zh-CN"/>
              </w:rPr>
              <w:t>greement</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val="0"/>
                <w:bCs/>
                <w:i w:val="0"/>
                <w:iCs/>
                <w:sz w:val="20"/>
                <w:szCs w:val="21"/>
                <w:lang w:eastAsia="zh-CN"/>
              </w:rPr>
            </w:pPr>
            <w:r>
              <w:rPr>
                <w:rFonts w:hint="default" w:ascii="Times New Roman" w:hAnsi="Times New Roman" w:cs="Times New Roman"/>
                <w:b w:val="0"/>
                <w:bCs/>
                <w:i w:val="0"/>
                <w:iCs/>
                <w:sz w:val="20"/>
                <w:szCs w:val="21"/>
                <w:lang w:eastAsia="zh-CN"/>
              </w:rPr>
              <w:t>Regarding NW-side model monitoring for a network-side AI/ML model of BM-Case1 and BM-Case2, study the necessity and the potential specification impacts from the following aspects:</w:t>
            </w:r>
          </w:p>
          <w:p>
            <w:pPr>
              <w:pStyle w:val="8"/>
              <w:keepNext w:val="0"/>
              <w:keepLines w:val="0"/>
              <w:pageBreakBefore w:val="0"/>
              <w:widowControl w:val="0"/>
              <w:numPr>
                <w:ilvl w:val="0"/>
                <w:numId w:val="25"/>
              </w:numPr>
              <w:kinsoku/>
              <w:wordWrap/>
              <w:overflowPunct/>
              <w:topLinePunct w:val="0"/>
              <w:autoSpaceDE/>
              <w:autoSpaceDN/>
              <w:bidi w:val="0"/>
              <w:adjustRightInd/>
              <w:snapToGrid/>
              <w:spacing w:after="0"/>
              <w:jc w:val="left"/>
              <w:textAlignment w:val="auto"/>
              <w:rPr>
                <w:rFonts w:hint="default" w:ascii="Times New Roman" w:hAnsi="Times New Roman" w:cs="Times New Roman"/>
                <w:b w:val="0"/>
                <w:bCs/>
                <w:i w:val="0"/>
                <w:iCs/>
                <w:sz w:val="20"/>
                <w:szCs w:val="21"/>
              </w:rPr>
            </w:pPr>
            <w:r>
              <w:rPr>
                <w:rFonts w:hint="default" w:ascii="Times New Roman" w:hAnsi="Times New Roman" w:cs="Times New Roman"/>
                <w:b w:val="0"/>
                <w:bCs/>
                <w:i w:val="0"/>
                <w:iCs/>
                <w:sz w:val="20"/>
                <w:szCs w:val="21"/>
              </w:rPr>
              <w:t xml:space="preserve">UE reporting of beam measurement(s) based on a set of beams indicated by gNB </w:t>
            </w:r>
          </w:p>
          <w:p>
            <w:pPr>
              <w:pStyle w:val="8"/>
              <w:keepNext w:val="0"/>
              <w:keepLines w:val="0"/>
              <w:pageBreakBefore w:val="0"/>
              <w:widowControl w:val="0"/>
              <w:numPr>
                <w:ilvl w:val="0"/>
                <w:numId w:val="25"/>
              </w:numPr>
              <w:kinsoku/>
              <w:wordWrap/>
              <w:overflowPunct/>
              <w:topLinePunct w:val="0"/>
              <w:autoSpaceDE/>
              <w:autoSpaceDN/>
              <w:bidi w:val="0"/>
              <w:adjustRightInd/>
              <w:snapToGrid/>
              <w:spacing w:after="0"/>
              <w:jc w:val="left"/>
              <w:textAlignment w:val="auto"/>
              <w:rPr>
                <w:rFonts w:hint="default" w:ascii="Times New Roman" w:hAnsi="Times New Roman" w:cs="Times New Roman"/>
                <w:b w:val="0"/>
                <w:bCs/>
                <w:i w:val="0"/>
                <w:iCs/>
                <w:sz w:val="20"/>
                <w:szCs w:val="21"/>
              </w:rPr>
            </w:pPr>
            <w:r>
              <w:rPr>
                <w:rFonts w:hint="default" w:ascii="Times New Roman" w:hAnsi="Times New Roman" w:cs="Times New Roman"/>
                <w:b w:val="0"/>
                <w:bCs/>
                <w:i w:val="0"/>
                <w:iCs/>
                <w:sz w:val="20"/>
                <w:szCs w:val="21"/>
              </w:rPr>
              <w:t>Signaling, e.g., RRC-based, L1-based</w:t>
            </w:r>
          </w:p>
          <w:p>
            <w:pPr>
              <w:pStyle w:val="8"/>
              <w:keepNext w:val="0"/>
              <w:keepLines w:val="0"/>
              <w:pageBreakBefore w:val="0"/>
              <w:widowControl w:val="0"/>
              <w:numPr>
                <w:ilvl w:val="0"/>
                <w:numId w:val="25"/>
              </w:numPr>
              <w:kinsoku/>
              <w:wordWrap/>
              <w:overflowPunct/>
              <w:topLinePunct w:val="0"/>
              <w:autoSpaceDE/>
              <w:autoSpaceDN/>
              <w:bidi w:val="0"/>
              <w:adjustRightInd/>
              <w:snapToGrid/>
              <w:spacing w:after="0"/>
              <w:jc w:val="left"/>
              <w:textAlignment w:val="auto"/>
              <w:rPr>
                <w:rFonts w:hint="eastAsia" w:ascii="Arial" w:hAnsi="Arial" w:eastAsia="宋体" w:cs="Arial"/>
                <w:kern w:val="0"/>
                <w:szCs w:val="21"/>
                <w:vertAlign w:val="baseline"/>
                <w:lang w:val="en-US" w:eastAsia="zh-CN"/>
              </w:rPr>
            </w:pPr>
            <w:r>
              <w:rPr>
                <w:rFonts w:hint="default" w:ascii="Times New Roman" w:hAnsi="Times New Roman" w:cs="Times New Roman"/>
                <w:b w:val="0"/>
                <w:bCs/>
                <w:i w:val="0"/>
                <w:iCs/>
                <w:sz w:val="20"/>
                <w:szCs w:val="21"/>
              </w:rPr>
              <w:t>Note: Performance and UE complexity, power consumption should be considered</w:t>
            </w:r>
          </w:p>
        </w:tc>
      </w:tr>
    </w:tbl>
    <w:p>
      <w:pPr>
        <w:pStyle w:val="8"/>
        <w:keepNext w:val="0"/>
        <w:keepLines w:val="0"/>
        <w:pageBreakBefore w:val="0"/>
        <w:widowControl w:val="0"/>
        <w:kinsoku/>
        <w:wordWrap/>
        <w:overflowPunct/>
        <w:topLinePunct w:val="0"/>
        <w:autoSpaceDE/>
        <w:autoSpaceDN/>
        <w:bidi w:val="0"/>
        <w:adjustRightInd/>
        <w:snapToGrid/>
        <w:spacing w:before="0" w:beforeLines="50"/>
        <w:textAlignment w:val="auto"/>
        <w:rPr>
          <w:rFonts w:hint="eastAsia" w:ascii="Arial" w:hAnsi="Arial" w:eastAsia="等线" w:cs="Arial"/>
          <w:sz w:val="20"/>
          <w:szCs w:val="21"/>
          <w:lang w:val="en-US" w:eastAsia="zh-CN"/>
        </w:rPr>
      </w:pPr>
      <w:r>
        <w:rPr>
          <w:rFonts w:hint="default" w:ascii="Arial" w:hAnsi="Arial" w:eastAsia="等线" w:cs="Arial"/>
          <w:sz w:val="20"/>
          <w:szCs w:val="21"/>
          <w:lang w:eastAsia="zh-CN"/>
        </w:rPr>
        <w:t xml:space="preserve">Regarding </w:t>
      </w:r>
      <w:r>
        <w:rPr>
          <w:rFonts w:hint="eastAsia" w:ascii="Arial" w:hAnsi="Arial" w:eastAsia="等线" w:cs="Arial"/>
          <w:sz w:val="20"/>
          <w:szCs w:val="21"/>
          <w:lang w:val="en-US" w:eastAsia="zh-CN"/>
        </w:rPr>
        <w:t>positioning accuracy enhancement</w:t>
      </w:r>
      <w:r>
        <w:rPr>
          <w:rFonts w:hint="default" w:ascii="Arial" w:hAnsi="Arial" w:eastAsia="等线" w:cs="Arial"/>
          <w:sz w:val="20"/>
          <w:szCs w:val="21"/>
          <w:lang w:eastAsia="zh-CN"/>
        </w:rPr>
        <w:t xml:space="preserve">, </w:t>
      </w:r>
      <w:r>
        <w:rPr>
          <w:rFonts w:hint="eastAsia" w:ascii="Arial" w:hAnsi="Arial" w:eastAsia="等线" w:cs="Arial"/>
          <w:sz w:val="20"/>
          <w:szCs w:val="21"/>
          <w:lang w:val="en-US" w:eastAsia="zh-CN"/>
        </w:rPr>
        <w:t>if monitoring is based on model output (e.g. estimated UE location for direct AI/ML positioning, estimated intermediate parameters for AI/ML assisted positioning), at least LMF can perform the monitoring, so LPP is preferred for data collection for model monitoring</w:t>
      </w:r>
      <w:r>
        <w:rPr>
          <w:rFonts w:hint="default" w:ascii="Arial" w:hAnsi="Arial" w:eastAsia="等线" w:cs="Arial"/>
          <w:sz w:val="20"/>
          <w:szCs w:val="21"/>
          <w:lang w:eastAsia="zh-CN"/>
        </w:rPr>
        <w:t>.</w:t>
      </w:r>
      <w:r>
        <w:rPr>
          <w:rFonts w:hint="eastAsia" w:ascii="Arial" w:hAnsi="Arial" w:eastAsia="等线" w:cs="Arial"/>
          <w:sz w:val="20"/>
          <w:szCs w:val="21"/>
          <w:lang w:val="en-US" w:eastAsia="zh-CN"/>
        </w:rPr>
        <w:t xml:space="preserve"> If monitoring is based on model input (e.g. measurement corresponding to model inference input), model monitoring and inference reside the same entity, so the similar mechanism to data collection for model inference input can be used.</w:t>
      </w:r>
    </w:p>
    <w:tbl>
      <w:tblPr>
        <w:tblStyle w:val="14"/>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96" w:type="dxa"/>
          </w:tcPr>
          <w:p>
            <w:pPr>
              <w:ind w:left="0" w:firstLine="0"/>
              <w:rPr>
                <w:rFonts w:hint="default" w:ascii="Times New Roman" w:hAnsi="Times New Roman" w:cs="Times New Roman"/>
                <w:sz w:val="20"/>
                <w:szCs w:val="21"/>
                <w:highlight w:val="green"/>
                <w:lang w:eastAsia="zh-CN"/>
              </w:rPr>
            </w:pPr>
            <w:r>
              <w:rPr>
                <w:rFonts w:hint="default" w:ascii="Times New Roman" w:hAnsi="Times New Roman" w:cs="Times New Roman"/>
                <w:sz w:val="20"/>
                <w:szCs w:val="18"/>
                <w:highlight w:val="green"/>
                <w:lang w:eastAsia="zh-CN"/>
              </w:rPr>
              <w:t>Agreement</w:t>
            </w:r>
          </w:p>
          <w:p>
            <w:pPr>
              <w:numPr>
                <w:ilvl w:val="0"/>
                <w:numId w:val="20"/>
              </w:numPr>
              <w:ind w:left="284" w:hanging="284"/>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 xml:space="preserve">Regarding AI/ML </w:t>
            </w:r>
            <w:r>
              <w:rPr>
                <w:rFonts w:hint="default" w:ascii="Times New Roman" w:hAnsi="Times New Roman" w:cs="Times New Roman"/>
                <w:sz w:val="20"/>
                <w:szCs w:val="18"/>
                <w:highlight w:val="yellow"/>
                <w:lang w:eastAsia="zh-CN"/>
              </w:rPr>
              <w:t xml:space="preserve">model monitoring </w:t>
            </w:r>
            <w:r>
              <w:rPr>
                <w:rFonts w:hint="default" w:ascii="Times New Roman" w:hAnsi="Times New Roman" w:cs="Times New Roman"/>
                <w:sz w:val="20"/>
                <w:szCs w:val="18"/>
                <w:lang w:eastAsia="zh-CN"/>
              </w:rPr>
              <w:t>for AI/ML based positioning, to study and provide inputs on feasibility, potential benefits (if any) and potential specification impact at least for the following aspects</w:t>
            </w:r>
          </w:p>
          <w:p>
            <w:pPr>
              <w:numPr>
                <w:ilvl w:val="0"/>
                <w:numId w:val="20"/>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At least the following are identified for further study as potential data for calculating monitoring metric</w:t>
            </w:r>
          </w:p>
          <w:p>
            <w:pPr>
              <w:numPr>
                <w:ilvl w:val="1"/>
                <w:numId w:val="20"/>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 xml:space="preserve">If monitoring based on </w:t>
            </w:r>
            <w:r>
              <w:rPr>
                <w:rFonts w:hint="default" w:ascii="Times New Roman" w:hAnsi="Times New Roman" w:cs="Times New Roman"/>
                <w:color w:val="C00000"/>
                <w:sz w:val="20"/>
                <w:szCs w:val="18"/>
                <w:lang w:eastAsia="zh-CN"/>
              </w:rPr>
              <w:t>model output</w:t>
            </w:r>
          </w:p>
          <w:p>
            <w:pPr>
              <w:numPr>
                <w:ilvl w:val="2"/>
                <w:numId w:val="20"/>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pPr>
              <w:numPr>
                <w:ilvl w:val="1"/>
                <w:numId w:val="20"/>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 xml:space="preserve">If monitoring based on </w:t>
            </w:r>
            <w:r>
              <w:rPr>
                <w:rFonts w:hint="default" w:ascii="Times New Roman" w:hAnsi="Times New Roman" w:cs="Times New Roman"/>
                <w:color w:val="C00000"/>
                <w:sz w:val="20"/>
                <w:szCs w:val="18"/>
                <w:lang w:eastAsia="zh-CN"/>
              </w:rPr>
              <w:t>model input</w:t>
            </w:r>
          </w:p>
          <w:p>
            <w:pPr>
              <w:numPr>
                <w:ilvl w:val="2"/>
                <w:numId w:val="20"/>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E.g., measurement corresponding to model inference input</w:t>
            </w:r>
          </w:p>
          <w:p>
            <w:pPr>
              <w:numPr>
                <w:ilvl w:val="1"/>
                <w:numId w:val="20"/>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Note1: other type of potential data for model monitoring is not precluded</w:t>
            </w:r>
          </w:p>
          <w:p>
            <w:pPr>
              <w:numPr>
                <w:ilvl w:val="1"/>
                <w:numId w:val="20"/>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Note2: combination of one or more type of potential data for monitoring is not precluded</w:t>
            </w:r>
          </w:p>
          <w:p>
            <w:pPr>
              <w:numPr>
                <w:ilvl w:val="0"/>
                <w:numId w:val="20"/>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If a given type of data is necessary for calculating monitoring metric, study whether and if so</w:t>
            </w:r>
          </w:p>
          <w:p>
            <w:pPr>
              <w:numPr>
                <w:ilvl w:val="1"/>
                <w:numId w:val="20"/>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How an entity can be used to provide the given type of data for calculating monitoring metric</w:t>
            </w:r>
          </w:p>
          <w:p>
            <w:pPr>
              <w:numPr>
                <w:ilvl w:val="2"/>
                <w:numId w:val="20"/>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Companies are requested to report their assumption of the entity (or entities) used to provide the given type of data for calculating monitoring metric for each case</w:t>
            </w:r>
          </w:p>
          <w:p>
            <w:pPr>
              <w:numPr>
                <w:ilvl w:val="1"/>
                <w:numId w:val="20"/>
              </w:numPr>
              <w:rPr>
                <w:rFonts w:hint="default" w:ascii="Times New Roman" w:hAnsi="Times New Roman" w:cs="Times New Roman"/>
                <w:sz w:val="20"/>
                <w:szCs w:val="18"/>
                <w:lang w:eastAsia="zh-CN"/>
              </w:rPr>
            </w:pPr>
            <w:r>
              <w:rPr>
                <w:rFonts w:hint="default" w:ascii="Times New Roman" w:hAnsi="Times New Roman" w:cs="Times New Roman"/>
                <w:sz w:val="20"/>
                <w:szCs w:val="21"/>
                <w:lang w:eastAsia="zh-CN"/>
              </w:rPr>
              <w:t xml:space="preserve">Potential signalling for provisioning of the given type of data for calculating associated </w:t>
            </w:r>
            <w:r>
              <w:rPr>
                <w:rFonts w:hint="default" w:ascii="Times New Roman" w:hAnsi="Times New Roman" w:cs="Times New Roman"/>
                <w:sz w:val="20"/>
                <w:szCs w:val="18"/>
                <w:lang w:eastAsia="zh-CN"/>
              </w:rPr>
              <w:t>monitoring metric</w:t>
            </w:r>
          </w:p>
          <w:p>
            <w:pPr>
              <w:numPr>
                <w:ilvl w:val="1"/>
                <w:numId w:val="20"/>
              </w:numPr>
              <w:rPr>
                <w:rFonts w:hint="default" w:ascii="Times New Roman" w:hAnsi="Times New Roman" w:cs="Times New Roman"/>
                <w:sz w:val="20"/>
                <w:szCs w:val="21"/>
                <w:lang w:eastAsia="zh-CN"/>
              </w:rPr>
            </w:pPr>
            <w:r>
              <w:rPr>
                <w:rFonts w:hint="default" w:ascii="Times New Roman" w:hAnsi="Times New Roman" w:cs="Times New Roman"/>
                <w:sz w:val="20"/>
                <w:szCs w:val="21"/>
                <w:lang w:eastAsia="zh-CN"/>
              </w:rPr>
              <w:t>Potential assistance signaling and procedure to facilitate an entity providing data for calculating monitoring metric</w:t>
            </w:r>
          </w:p>
          <w:p>
            <w:pPr>
              <w:numPr>
                <w:ilvl w:val="1"/>
                <w:numId w:val="20"/>
              </w:numPr>
              <w:rPr>
                <w:rFonts w:hint="default" w:ascii="Times New Roman" w:hAnsi="Times New Roman" w:cs="Times New Roman"/>
                <w:sz w:val="20"/>
                <w:szCs w:val="18"/>
                <w:lang w:eastAsia="zh-CN"/>
              </w:rPr>
            </w:pPr>
            <w:r>
              <w:rPr>
                <w:rFonts w:hint="default" w:ascii="Times New Roman" w:hAnsi="Times New Roman" w:cs="Times New Roman"/>
                <w:sz w:val="20"/>
                <w:szCs w:val="18"/>
                <w:lang w:eastAsia="zh-CN"/>
              </w:rPr>
              <w:t>Potential UE-network interaction</w:t>
            </w:r>
          </w:p>
          <w:p>
            <w:pPr>
              <w:numPr>
                <w:ilvl w:val="2"/>
                <w:numId w:val="20"/>
              </w:numPr>
              <w:rPr>
                <w:rFonts w:hint="default" w:ascii="Arial" w:hAnsi="Arial" w:eastAsia="等线" w:cs="Arial"/>
                <w:sz w:val="20"/>
                <w:szCs w:val="21"/>
                <w:vertAlign w:val="baseline"/>
                <w:lang w:val="en-US" w:eastAsia="zh-CN"/>
              </w:rPr>
            </w:pPr>
            <w:r>
              <w:rPr>
                <w:rFonts w:hint="default" w:ascii="Times New Roman" w:hAnsi="Times New Roman" w:cs="Times New Roman"/>
                <w:sz w:val="20"/>
                <w:szCs w:val="18"/>
                <w:lang w:eastAsia="zh-CN"/>
              </w:rPr>
              <w:t xml:space="preserve">E.g., model monitoring </w:t>
            </w:r>
            <w:r>
              <w:rPr>
                <w:rFonts w:hint="default" w:ascii="Times New Roman" w:hAnsi="Times New Roman" w:cs="Times New Roman"/>
                <w:sz w:val="20"/>
                <w:szCs w:val="21"/>
                <w:lang w:eastAsia="zh-CN"/>
              </w:rPr>
              <w:t xml:space="preserve">decision </w:t>
            </w:r>
            <w:r>
              <w:rPr>
                <w:rFonts w:hint="default" w:ascii="Times New Roman" w:hAnsi="Times New Roman" w:cs="Times New Roman"/>
                <w:sz w:val="20"/>
                <w:szCs w:val="18"/>
                <w:lang w:eastAsia="zh-CN"/>
              </w:rPr>
              <w:t>indication between UE and network</w:t>
            </w:r>
          </w:p>
        </w:tc>
      </w:tr>
    </w:tbl>
    <w:p>
      <w:pPr>
        <w:pStyle w:val="8"/>
        <w:keepNext w:val="0"/>
        <w:keepLines w:val="0"/>
        <w:pageBreakBefore w:val="0"/>
        <w:widowControl w:val="0"/>
        <w:kinsoku/>
        <w:wordWrap/>
        <w:overflowPunct/>
        <w:topLinePunct w:val="0"/>
        <w:autoSpaceDE/>
        <w:autoSpaceDN/>
        <w:bidi w:val="0"/>
        <w:adjustRightInd/>
        <w:snapToGrid/>
        <w:spacing w:before="0" w:beforeLines="50"/>
        <w:textAlignment w:val="auto"/>
        <w:rPr>
          <w:rFonts w:hint="default" w:ascii="Arial" w:hAnsi="Arial" w:eastAsia="等线" w:cs="Arial"/>
          <w:sz w:val="20"/>
          <w:szCs w:val="21"/>
          <w:lang w:val="en-US" w:eastAsia="zh-CN"/>
        </w:rPr>
      </w:pPr>
      <w:r>
        <w:rPr>
          <w:rFonts w:hint="eastAsia" w:ascii="Arial" w:hAnsi="Arial" w:cs="Arial"/>
          <w:sz w:val="20"/>
          <w:szCs w:val="21"/>
          <w:lang w:val="en-US" w:eastAsia="zh-CN"/>
        </w:rPr>
        <w:t>Based on the above analysis, we propose to further study the following data collection frameworks per use case for model monitoring. Of course, other framework is not precluded.</w:t>
      </w:r>
    </w:p>
    <w:p>
      <w:pPr>
        <w:keepNext w:val="0"/>
        <w:keepLines w:val="0"/>
        <w:pageBreakBefore w:val="0"/>
        <w:widowControl w:val="0"/>
        <w:kinsoku/>
        <w:wordWrap/>
        <w:overflowPunct/>
        <w:topLinePunct w:val="0"/>
        <w:autoSpaceDE/>
        <w:autoSpaceDN/>
        <w:bidi w:val="0"/>
        <w:adjustRightInd/>
        <w:snapToGrid/>
        <w:spacing w:after="0" w:afterLines="50"/>
        <w:jc w:val="center"/>
        <w:textAlignment w:val="auto"/>
        <w:rPr>
          <w:rFonts w:hint="default" w:ascii="Arial" w:hAnsi="Arial" w:cs="Arial" w:eastAsiaTheme="minorEastAsia"/>
          <w:b w:val="0"/>
          <w:bCs/>
          <w:sz w:val="20"/>
          <w:szCs w:val="20"/>
          <w:lang w:val="en-US" w:eastAsia="zh-CN"/>
        </w:rPr>
      </w:pPr>
      <w:r>
        <w:rPr>
          <w:rFonts w:hint="default" w:ascii="Arial" w:hAnsi="Arial" w:cs="Arial" w:eastAsiaTheme="minorEastAsia"/>
          <w:b w:val="0"/>
          <w:bCs/>
          <w:sz w:val="20"/>
          <w:szCs w:val="20"/>
          <w:lang w:eastAsia="zh-CN"/>
        </w:rPr>
        <w:t>Table</w:t>
      </w:r>
      <w:r>
        <w:rPr>
          <w:rFonts w:hint="eastAsia" w:ascii="Arial" w:hAnsi="Arial" w:cs="Arial"/>
          <w:b w:val="0"/>
          <w:bCs/>
          <w:sz w:val="20"/>
          <w:szCs w:val="20"/>
          <w:lang w:val="en-US" w:eastAsia="zh-CN"/>
        </w:rPr>
        <w:t xml:space="preserve"> 3</w:t>
      </w:r>
      <w:r>
        <w:rPr>
          <w:rFonts w:hint="default" w:ascii="Arial" w:hAnsi="Arial" w:cs="Arial" w:eastAsiaTheme="minorEastAsia"/>
          <w:b w:val="0"/>
          <w:bCs/>
          <w:sz w:val="20"/>
          <w:szCs w:val="20"/>
          <w:lang w:eastAsia="zh-CN"/>
        </w:rPr>
        <w:t xml:space="preserve">: </w:t>
      </w:r>
      <w:r>
        <w:rPr>
          <w:rFonts w:hint="eastAsia" w:ascii="Arial" w:hAnsi="Arial" w:cs="Arial"/>
          <w:b w:val="0"/>
          <w:bCs/>
          <w:sz w:val="20"/>
          <w:szCs w:val="20"/>
          <w:lang w:val="en-US" w:eastAsia="zh-CN"/>
        </w:rPr>
        <w:t xml:space="preserve">the </w:t>
      </w:r>
      <w:r>
        <w:rPr>
          <w:rFonts w:hint="default" w:ascii="Arial" w:hAnsi="Arial" w:cs="Arial" w:eastAsiaTheme="minorEastAsia"/>
          <w:b w:val="0"/>
          <w:bCs/>
          <w:sz w:val="20"/>
          <w:szCs w:val="20"/>
          <w:lang w:eastAsia="zh-CN"/>
        </w:rPr>
        <w:t xml:space="preserve">relation between </w:t>
      </w:r>
      <w:r>
        <w:rPr>
          <w:rFonts w:hint="eastAsia" w:ascii="Arial" w:hAnsi="Arial" w:cs="Arial"/>
          <w:b w:val="0"/>
          <w:bCs/>
          <w:sz w:val="20"/>
          <w:szCs w:val="20"/>
          <w:vertAlign w:val="baseline"/>
          <w:lang w:val="en-US" w:eastAsia="zh-CN"/>
        </w:rPr>
        <w:t>dat</w:t>
      </w:r>
      <w:bookmarkStart w:id="0" w:name="_GoBack"/>
      <w:bookmarkEnd w:id="0"/>
      <w:r>
        <w:rPr>
          <w:rFonts w:hint="eastAsia" w:ascii="Arial" w:hAnsi="Arial" w:cs="Arial"/>
          <w:b w:val="0"/>
          <w:bCs/>
          <w:sz w:val="20"/>
          <w:szCs w:val="20"/>
          <w:vertAlign w:val="baseline"/>
          <w:lang w:val="en-US" w:eastAsia="zh-CN"/>
        </w:rPr>
        <w:t xml:space="preserve">a collection </w:t>
      </w:r>
      <w:r>
        <w:rPr>
          <w:rFonts w:hint="eastAsia" w:ascii="Arial" w:hAnsi="Arial" w:cs="Arial"/>
          <w:b w:val="0"/>
          <w:bCs/>
          <w:sz w:val="20"/>
          <w:szCs w:val="20"/>
          <w:lang w:val="en-US" w:eastAsia="zh-CN"/>
        </w:rPr>
        <w:t>framework</w:t>
      </w:r>
      <w:r>
        <w:rPr>
          <w:rFonts w:hint="default" w:ascii="Arial" w:hAnsi="Arial" w:cs="Arial" w:eastAsiaTheme="minorEastAsia"/>
          <w:b w:val="0"/>
          <w:bCs/>
          <w:sz w:val="20"/>
          <w:szCs w:val="20"/>
          <w:lang w:eastAsia="zh-CN"/>
        </w:rPr>
        <w:t>s and use cases</w:t>
      </w:r>
      <w:r>
        <w:rPr>
          <w:rFonts w:hint="eastAsia" w:ascii="Arial" w:hAnsi="Arial" w:cs="Arial"/>
          <w:b w:val="0"/>
          <w:bCs/>
          <w:sz w:val="20"/>
          <w:szCs w:val="20"/>
          <w:lang w:val="en-US" w:eastAsia="zh-CN"/>
        </w:rPr>
        <w:t xml:space="preserve"> for model monitoring</w:t>
      </w:r>
    </w:p>
    <w:tbl>
      <w:tblPr>
        <w:tblStyle w:val="14"/>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56"/>
        <w:gridCol w:w="6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6"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Arial" w:hAnsi="Arial" w:cs="Arial"/>
                <w:b/>
                <w:bCs w:val="0"/>
                <w:sz w:val="20"/>
                <w:szCs w:val="20"/>
                <w:vertAlign w:val="baseline"/>
                <w:lang w:val="en-US" w:eastAsia="zh-CN"/>
              </w:rPr>
            </w:pPr>
            <w:r>
              <w:rPr>
                <w:rFonts w:hint="eastAsia" w:ascii="Arial" w:hAnsi="Arial" w:cs="Arial"/>
                <w:b/>
                <w:bCs w:val="0"/>
                <w:sz w:val="20"/>
                <w:szCs w:val="20"/>
                <w:vertAlign w:val="baseline"/>
                <w:lang w:val="en-US" w:eastAsia="zh-CN"/>
              </w:rPr>
              <w:t>Use case</w:t>
            </w:r>
          </w:p>
        </w:tc>
        <w:tc>
          <w:tcPr>
            <w:tcW w:w="612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Arial" w:hAnsi="Arial" w:cs="Arial"/>
                <w:b/>
                <w:bCs w:val="0"/>
                <w:sz w:val="20"/>
                <w:szCs w:val="20"/>
                <w:vertAlign w:val="baseline"/>
                <w:lang w:val="en-US" w:eastAsia="zh-CN"/>
              </w:rPr>
            </w:pPr>
            <w:r>
              <w:rPr>
                <w:rFonts w:hint="eastAsia" w:ascii="Arial" w:hAnsi="Arial" w:cs="Arial"/>
                <w:b/>
                <w:bCs w:val="0"/>
                <w:sz w:val="20"/>
                <w:szCs w:val="20"/>
                <w:vertAlign w:val="baseline"/>
                <w:lang w:val="en-US" w:eastAsia="zh-CN"/>
              </w:rPr>
              <w:t>Potential data collection framework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6"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Arial" w:hAnsi="Arial" w:cs="Arial"/>
                <w:b w:val="0"/>
                <w:bCs/>
                <w:sz w:val="20"/>
                <w:szCs w:val="20"/>
                <w:vertAlign w:val="baseline"/>
                <w:lang w:val="en-US" w:eastAsia="zh-CN"/>
              </w:rPr>
            </w:pPr>
            <w:r>
              <w:rPr>
                <w:rFonts w:hint="eastAsia" w:ascii="Arial" w:hAnsi="Arial" w:cs="Arial"/>
                <w:b w:val="0"/>
                <w:bCs/>
                <w:sz w:val="20"/>
                <w:szCs w:val="20"/>
                <w:vertAlign w:val="baseline"/>
                <w:lang w:val="en-US" w:eastAsia="zh-CN"/>
              </w:rPr>
              <w:t>CSI feedback enhancement</w:t>
            </w:r>
          </w:p>
        </w:tc>
        <w:tc>
          <w:tcPr>
            <w:tcW w:w="6124" w:type="dxa"/>
          </w:tcPr>
          <w:p>
            <w:pPr>
              <w:keepNext w:val="0"/>
              <w:keepLines w:val="0"/>
              <w:pageBreakBefore w:val="0"/>
              <w:widowControl w:val="0"/>
              <w:numPr>
                <w:ilvl w:val="0"/>
                <w:numId w:val="26"/>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L1 measurement (CSI reporting) </w:t>
            </w:r>
          </w:p>
          <w:p>
            <w:pPr>
              <w:keepNext w:val="0"/>
              <w:keepLines w:val="0"/>
              <w:pageBreakBefore w:val="0"/>
              <w:widowControl w:val="0"/>
              <w:numPr>
                <w:ilvl w:val="0"/>
                <w:numId w:val="26"/>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immediate MDT </w:t>
            </w:r>
          </w:p>
          <w:p>
            <w:pPr>
              <w:keepNext w:val="0"/>
              <w:keepLines w:val="0"/>
              <w:pageBreakBefore w:val="0"/>
              <w:widowControl w:val="0"/>
              <w:numPr>
                <w:ilvl w:val="0"/>
                <w:numId w:val="26"/>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L3 measurement </w:t>
            </w:r>
          </w:p>
          <w:p>
            <w:pPr>
              <w:keepNext w:val="0"/>
              <w:keepLines w:val="0"/>
              <w:pageBreakBefore w:val="0"/>
              <w:widowControl w:val="0"/>
              <w:numPr>
                <w:ilvl w:val="0"/>
                <w:numId w:val="26"/>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vertAlign w:val="baseline"/>
                <w:lang w:val="en-US" w:eastAsia="zh-CN"/>
              </w:rPr>
            </w:pPr>
            <w:r>
              <w:rPr>
                <w:rFonts w:hint="eastAsia" w:ascii="Arial" w:hAnsi="Arial" w:cs="Arial"/>
                <w:b w:val="0"/>
                <w:bCs/>
                <w:sz w:val="20"/>
                <w:szCs w:val="20"/>
                <w:lang w:val="en-US" w:eastAsia="zh-CN"/>
              </w:rPr>
              <w:t>UAI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6"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Arial" w:hAnsi="Arial" w:cs="Arial"/>
                <w:b w:val="0"/>
                <w:bCs/>
                <w:sz w:val="20"/>
                <w:szCs w:val="20"/>
                <w:vertAlign w:val="baseline"/>
                <w:lang w:val="en-US" w:eastAsia="zh-CN"/>
              </w:rPr>
            </w:pPr>
            <w:r>
              <w:rPr>
                <w:rFonts w:hint="eastAsia" w:ascii="Arial" w:hAnsi="Arial" w:cs="Arial"/>
                <w:b w:val="0"/>
                <w:bCs/>
                <w:sz w:val="20"/>
                <w:szCs w:val="20"/>
                <w:vertAlign w:val="baseline"/>
                <w:lang w:val="en-US" w:eastAsia="zh-CN"/>
              </w:rPr>
              <w:t>Beam management</w:t>
            </w:r>
          </w:p>
        </w:tc>
        <w:tc>
          <w:tcPr>
            <w:tcW w:w="6124" w:type="dxa"/>
          </w:tcPr>
          <w:p>
            <w:pPr>
              <w:keepNext w:val="0"/>
              <w:keepLines w:val="0"/>
              <w:pageBreakBefore w:val="0"/>
              <w:widowControl w:val="0"/>
              <w:numPr>
                <w:ilvl w:val="0"/>
                <w:numId w:val="27"/>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vertAlign w:val="baseline"/>
                <w:lang w:val="en-US" w:eastAsia="zh-CN"/>
              </w:rPr>
            </w:pPr>
            <w:r>
              <w:rPr>
                <w:rFonts w:hint="eastAsia" w:ascii="Arial" w:hAnsi="Arial" w:cs="Arial"/>
                <w:b w:val="0"/>
                <w:bCs/>
                <w:sz w:val="20"/>
                <w:szCs w:val="20"/>
                <w:lang w:val="en-US" w:eastAsia="zh-CN"/>
              </w:rPr>
              <w:t>L1 reporting</w:t>
            </w:r>
          </w:p>
          <w:p>
            <w:pPr>
              <w:keepNext w:val="0"/>
              <w:keepLines w:val="0"/>
              <w:pageBreakBefore w:val="0"/>
              <w:widowControl w:val="0"/>
              <w:numPr>
                <w:ilvl w:val="0"/>
                <w:numId w:val="27"/>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L3 measurement</w:t>
            </w:r>
          </w:p>
          <w:p>
            <w:pPr>
              <w:keepNext w:val="0"/>
              <w:keepLines w:val="0"/>
              <w:pageBreakBefore w:val="0"/>
              <w:widowControl w:val="0"/>
              <w:numPr>
                <w:ilvl w:val="0"/>
                <w:numId w:val="27"/>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immediate MDT </w:t>
            </w:r>
          </w:p>
          <w:p>
            <w:pPr>
              <w:keepNext w:val="0"/>
              <w:keepLines w:val="0"/>
              <w:pageBreakBefore w:val="0"/>
              <w:widowControl w:val="0"/>
              <w:numPr>
                <w:ilvl w:val="0"/>
                <w:numId w:val="27"/>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vertAlign w:val="baseline"/>
                <w:lang w:val="en-US" w:eastAsia="zh-CN"/>
              </w:rPr>
            </w:pPr>
            <w:r>
              <w:rPr>
                <w:rFonts w:hint="eastAsia" w:ascii="Arial" w:hAnsi="Arial" w:cs="Arial"/>
                <w:b w:val="0"/>
                <w:bCs/>
                <w:sz w:val="20"/>
                <w:szCs w:val="20"/>
                <w:lang w:val="en-US" w:eastAsia="zh-CN"/>
              </w:rPr>
              <w:t>UAI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6"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Arial" w:hAnsi="Arial" w:cs="Arial"/>
                <w:b w:val="0"/>
                <w:bCs/>
                <w:sz w:val="20"/>
                <w:szCs w:val="20"/>
                <w:vertAlign w:val="baseline"/>
                <w:lang w:val="en-US" w:eastAsia="zh-CN"/>
              </w:rPr>
            </w:pPr>
            <w:r>
              <w:rPr>
                <w:rFonts w:hint="eastAsia" w:ascii="Arial" w:hAnsi="Arial" w:cs="Arial"/>
                <w:b w:val="0"/>
                <w:bCs/>
                <w:sz w:val="20"/>
                <w:szCs w:val="20"/>
                <w:vertAlign w:val="baseline"/>
                <w:lang w:val="en-US" w:eastAsia="zh-CN"/>
              </w:rPr>
              <w:t>Positioning accuracy enhancement</w:t>
            </w:r>
          </w:p>
        </w:tc>
        <w:tc>
          <w:tcPr>
            <w:tcW w:w="6124" w:type="dxa"/>
          </w:tcPr>
          <w:p>
            <w:pPr>
              <w:keepNext w:val="0"/>
              <w:keepLines w:val="0"/>
              <w:pageBreakBefore w:val="0"/>
              <w:widowControl w:val="0"/>
              <w:numPr>
                <w:ilvl w:val="0"/>
                <w:numId w:val="28"/>
              </w:numPr>
              <w:kinsoku/>
              <w:wordWrap/>
              <w:overflowPunct/>
              <w:topLinePunct w:val="0"/>
              <w:autoSpaceDE/>
              <w:autoSpaceDN/>
              <w:bidi w:val="0"/>
              <w:adjustRightInd/>
              <w:snapToGrid/>
              <w:spacing w:line="240" w:lineRule="auto"/>
              <w:ind w:left="425" w:leftChars="0" w:hanging="425" w:firstLineChars="0"/>
              <w:jc w:val="both"/>
              <w:textAlignment w:val="auto"/>
              <w:rPr>
                <w:rFonts w:hint="default" w:ascii="Arial" w:hAnsi="Arial" w:cs="Arial"/>
                <w:b w:val="0"/>
                <w:bCs/>
                <w:sz w:val="20"/>
                <w:szCs w:val="20"/>
                <w:lang w:val="en-US" w:eastAsia="zh-CN"/>
              </w:rPr>
            </w:pPr>
            <w:r>
              <w:rPr>
                <w:rFonts w:hint="eastAsia" w:ascii="Arial" w:hAnsi="Arial" w:cs="Arial"/>
                <w:b w:val="0"/>
                <w:bCs/>
                <w:sz w:val="20"/>
                <w:szCs w:val="20"/>
                <w:lang w:val="en-US" w:eastAsia="zh-CN"/>
              </w:rPr>
              <w:t>LPP (preferred for monitoring at LMF)</w:t>
            </w:r>
          </w:p>
          <w:p>
            <w:pPr>
              <w:keepNext w:val="0"/>
              <w:keepLines w:val="0"/>
              <w:pageBreakBefore w:val="0"/>
              <w:widowControl w:val="0"/>
              <w:numPr>
                <w:ilvl w:val="0"/>
                <w:numId w:val="28"/>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immediate MDT </w:t>
            </w:r>
          </w:p>
          <w:p>
            <w:pPr>
              <w:keepNext w:val="0"/>
              <w:keepLines w:val="0"/>
              <w:pageBreakBefore w:val="0"/>
              <w:widowControl w:val="0"/>
              <w:numPr>
                <w:ilvl w:val="0"/>
                <w:numId w:val="28"/>
              </w:numPr>
              <w:kinsoku/>
              <w:wordWrap/>
              <w:overflowPunct/>
              <w:topLinePunct w:val="0"/>
              <w:autoSpaceDE/>
              <w:autoSpaceDN/>
              <w:bidi w:val="0"/>
              <w:adjustRightInd/>
              <w:snapToGrid/>
              <w:spacing w:line="240" w:lineRule="auto"/>
              <w:ind w:left="425" w:leftChars="0" w:hanging="425" w:firstLineChars="0"/>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L3 measurement </w:t>
            </w:r>
          </w:p>
          <w:p>
            <w:pPr>
              <w:keepNext w:val="0"/>
              <w:keepLines w:val="0"/>
              <w:pageBreakBefore w:val="0"/>
              <w:widowControl w:val="0"/>
              <w:numPr>
                <w:ilvl w:val="0"/>
                <w:numId w:val="28"/>
              </w:numPr>
              <w:kinsoku/>
              <w:wordWrap/>
              <w:overflowPunct/>
              <w:topLinePunct w:val="0"/>
              <w:autoSpaceDE/>
              <w:autoSpaceDN/>
              <w:bidi w:val="0"/>
              <w:adjustRightInd/>
              <w:snapToGrid/>
              <w:spacing w:line="240" w:lineRule="auto"/>
              <w:ind w:left="425" w:leftChars="0" w:hanging="425" w:firstLineChars="0"/>
              <w:jc w:val="both"/>
              <w:textAlignment w:val="auto"/>
              <w:rPr>
                <w:rFonts w:hint="default" w:ascii="Arial" w:hAnsi="Arial" w:cs="Arial"/>
                <w:b w:val="0"/>
                <w:bCs/>
                <w:sz w:val="20"/>
                <w:szCs w:val="20"/>
                <w:lang w:val="en-US" w:eastAsia="zh-CN"/>
              </w:rPr>
            </w:pPr>
            <w:r>
              <w:rPr>
                <w:rFonts w:hint="eastAsia" w:ascii="Arial" w:hAnsi="Arial" w:cs="Arial"/>
                <w:b w:val="0"/>
                <w:bCs/>
                <w:sz w:val="20"/>
                <w:szCs w:val="20"/>
                <w:lang w:val="en-US" w:eastAsia="zh-CN"/>
              </w:rPr>
              <w:t>UAI</w:t>
            </w:r>
          </w:p>
        </w:tc>
      </w:tr>
    </w:tbl>
    <w:p>
      <w:pPr>
        <w:spacing w:before="120" w:beforeLines="50" w:after="120" w:line="260" w:lineRule="exact"/>
        <w:rPr>
          <w:rFonts w:hint="default" w:ascii="Arial" w:hAnsi="Arial" w:eastAsia="宋体" w:cs="Arial"/>
          <w:b/>
          <w:bCs/>
          <w:kern w:val="0"/>
          <w:szCs w:val="21"/>
          <w:lang w:val="en-US" w:eastAsia="zh-CN"/>
        </w:rPr>
      </w:pPr>
      <w:r>
        <w:rPr>
          <w:rFonts w:hint="eastAsia" w:ascii="Arial" w:hAnsi="Arial" w:eastAsia="宋体" w:cs="Arial"/>
          <w:b/>
          <w:bCs/>
          <w:kern w:val="0"/>
          <w:sz w:val="20"/>
          <w:szCs w:val="20"/>
          <w:lang w:val="en-US" w:eastAsia="zh-CN"/>
        </w:rPr>
        <w:t>Proposal 10: For model monitoring, the potential data collection frameworks for each use case in Table 3 can be further discussed. Other framework is not precluded.</w:t>
      </w:r>
    </w:p>
    <w:p>
      <w:pPr>
        <w:widowControl/>
        <w:spacing w:before="120" w:beforeLines="50" w:after="180"/>
        <w:rPr>
          <w:rFonts w:hint="default" w:ascii="Arial" w:hAnsi="Arial" w:eastAsia="宋体" w:cs="Arial"/>
          <w:b/>
          <w:bCs/>
          <w:kern w:val="0"/>
          <w:szCs w:val="21"/>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w:t>
      </w:r>
      <w:r>
        <w:rPr>
          <w:rFonts w:hint="eastAsia" w:ascii="Arial" w:hAnsi="Arial" w:eastAsia="宋体" w:cs="Arial"/>
          <w:kern w:val="0"/>
          <w:sz w:val="20"/>
          <w:szCs w:val="20"/>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data collection</w:t>
      </w:r>
      <w:r>
        <w:rPr>
          <w:rFonts w:hint="eastAsia" w:ascii="Arial" w:hAnsi="Arial" w:eastAsia="宋体" w:cs="Arial"/>
          <w:kern w:val="0"/>
          <w:sz w:val="20"/>
          <w:szCs w:val="20"/>
        </w:rPr>
        <w:t xml:space="preserve"> for AI/ML for NR air interface</w:t>
      </w:r>
      <w:r>
        <w:rPr>
          <w:rFonts w:ascii="Arial" w:hAnsi="Arial" w:eastAsia="宋体" w:cs="Arial"/>
          <w:kern w:val="0"/>
          <w:sz w:val="20"/>
          <w:szCs w:val="20"/>
          <w:lang w:val="en-GB" w:eastAsia="en-US"/>
        </w:rPr>
        <w:t>.</w:t>
      </w:r>
    </w:p>
    <w:p>
      <w:pPr>
        <w:widowControl/>
        <w:spacing w:after="180"/>
        <w:rPr>
          <w:rFonts w:hint="eastAsia"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General principle:</w:t>
      </w:r>
    </w:p>
    <w:p>
      <w:pPr>
        <w:spacing w:before="120" w:beforeLines="50" w:after="120" w:line="260" w:lineRule="exact"/>
        <w:rPr>
          <w:rFonts w:ascii="Arial" w:hAnsi="Arial" w:cs="Arial" w:eastAsiaTheme="minorEastAsia"/>
          <w:b/>
          <w:sz w:val="20"/>
          <w:szCs w:val="20"/>
          <w:lang w:val="en-GB" w:eastAsia="zh-CN"/>
        </w:rPr>
      </w:pPr>
      <w:r>
        <w:rPr>
          <w:rFonts w:ascii="Arial" w:hAnsi="Arial" w:cs="Arial" w:eastAsiaTheme="minorEastAsia"/>
          <w:b/>
          <w:sz w:val="20"/>
          <w:szCs w:val="20"/>
          <w:lang w:val="en-GB" w:eastAsia="zh-CN"/>
        </w:rPr>
        <w:t xml:space="preserve">Proposal </w:t>
      </w:r>
      <w:r>
        <w:rPr>
          <w:rFonts w:hint="eastAsia" w:ascii="Arial" w:hAnsi="Arial" w:cs="Arial"/>
          <w:b/>
          <w:sz w:val="20"/>
          <w:szCs w:val="20"/>
          <w:lang w:val="en-US" w:eastAsia="zh-CN"/>
        </w:rPr>
        <w:t>1</w:t>
      </w:r>
      <w:r>
        <w:rPr>
          <w:rFonts w:ascii="Arial" w:hAnsi="Arial" w:cs="Arial" w:eastAsiaTheme="minorEastAsia"/>
          <w:b/>
          <w:sz w:val="20"/>
          <w:szCs w:val="20"/>
          <w:lang w:val="en-GB" w:eastAsia="zh-CN"/>
        </w:rPr>
        <w:t xml:space="preserve">: </w:t>
      </w:r>
      <w:r>
        <w:rPr>
          <w:rFonts w:hint="eastAsia" w:ascii="Arial" w:hAnsi="Arial" w:cs="Arial"/>
          <w:b/>
          <w:sz w:val="20"/>
          <w:szCs w:val="20"/>
          <w:lang w:val="en-US" w:eastAsia="zh-CN"/>
        </w:rPr>
        <w:t>RAN2 prioritize t</w:t>
      </w:r>
      <w:r>
        <w:rPr>
          <w:rFonts w:ascii="Arial" w:hAnsi="Arial" w:cs="Arial" w:eastAsiaTheme="minorEastAsia"/>
          <w:b/>
          <w:sz w:val="20"/>
          <w:szCs w:val="20"/>
          <w:lang w:val="en-GB" w:eastAsia="zh-CN"/>
        </w:rPr>
        <w:t xml:space="preserve">he frameworks </w:t>
      </w:r>
      <w:r>
        <w:rPr>
          <w:rFonts w:hint="eastAsia" w:ascii="Arial" w:hAnsi="Arial" w:cs="Arial"/>
          <w:b/>
          <w:sz w:val="20"/>
          <w:szCs w:val="20"/>
          <w:lang w:val="en-US" w:eastAsia="zh-CN"/>
        </w:rPr>
        <w:t xml:space="preserve">which </w:t>
      </w:r>
      <w:r>
        <w:rPr>
          <w:rFonts w:ascii="Arial" w:hAnsi="Arial" w:cs="Arial" w:eastAsiaTheme="minorEastAsia"/>
          <w:b/>
          <w:sz w:val="20"/>
          <w:szCs w:val="20"/>
          <w:lang w:val="en-GB" w:eastAsia="zh-CN"/>
        </w:rPr>
        <w:t>support data collection in RRC_CONNECTED</w:t>
      </w:r>
      <w:r>
        <w:rPr>
          <w:rFonts w:hint="eastAsia" w:ascii="Arial" w:hAnsi="Arial" w:cs="Arial"/>
          <w:b/>
          <w:sz w:val="20"/>
          <w:szCs w:val="20"/>
          <w:lang w:val="en-US" w:eastAsia="zh-CN"/>
        </w:rPr>
        <w:t xml:space="preserve"> state</w:t>
      </w:r>
      <w:r>
        <w:rPr>
          <w:rFonts w:ascii="Arial" w:hAnsi="Arial" w:cs="Arial" w:eastAsiaTheme="minorEastAsia"/>
          <w:b/>
          <w:sz w:val="20"/>
          <w:szCs w:val="20"/>
          <w:lang w:val="en-GB" w:eastAsia="zh-CN"/>
        </w:rPr>
        <w:t>.</w:t>
      </w:r>
    </w:p>
    <w:p>
      <w:pPr>
        <w:spacing w:before="120" w:beforeLines="50" w:after="120" w:line="260" w:lineRule="exact"/>
        <w:rPr>
          <w:rFonts w:hint="default" w:ascii="Arial" w:hAnsi="Arial" w:cs="Arial"/>
          <w:b/>
          <w:bCs w:val="0"/>
          <w:sz w:val="20"/>
          <w:szCs w:val="20"/>
          <w:lang w:val="en-US" w:eastAsia="zh-CN"/>
        </w:rPr>
      </w:pPr>
      <w:r>
        <w:rPr>
          <w:rFonts w:hint="eastAsia" w:ascii="Arial" w:hAnsi="Arial" w:cs="Arial"/>
          <w:b/>
          <w:bCs w:val="0"/>
          <w:sz w:val="20"/>
          <w:szCs w:val="20"/>
          <w:lang w:val="en-US" w:eastAsia="zh-CN"/>
        </w:rPr>
        <w:t>Observation 1: The requirements on data collection for model training, model inference and model monitoring are different, and should be discussed separately.</w:t>
      </w:r>
    </w:p>
    <w:p>
      <w:pPr>
        <w:widowControl/>
        <w:spacing w:after="180"/>
        <w:rPr>
          <w:rFonts w:hint="default" w:ascii="Arial" w:hAnsi="Arial" w:eastAsia="宋体" w:cs="Arial"/>
          <w:b/>
          <w:bCs/>
          <w:kern w:val="0"/>
          <w:szCs w:val="21"/>
          <w:u w:val="single"/>
          <w:lang w:val="en-US" w:eastAsia="zh-CN"/>
        </w:rPr>
      </w:pPr>
      <w:r>
        <w:rPr>
          <w:rFonts w:hint="eastAsia" w:ascii="Arial" w:hAnsi="Arial" w:cs="Arial"/>
          <w:b/>
          <w:bCs w:val="0"/>
          <w:sz w:val="20"/>
          <w:szCs w:val="20"/>
          <w:lang w:val="en-US" w:eastAsia="zh-CN"/>
        </w:rPr>
        <w:t>Proposal 2: For the details on the content of data, data size, latency requirements per use case, RAN2 can wait for RAN1 progress.</w:t>
      </w:r>
    </w:p>
    <w:p>
      <w:pPr>
        <w:widowControl/>
        <w:spacing w:after="180"/>
        <w:rPr>
          <w:rFonts w:hint="eastAsia"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Data collection for model training:</w:t>
      </w:r>
    </w:p>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Observation 2: The requirements on data collection for online training and offline training are different, and should be discussed separately.</w:t>
      </w:r>
    </w:p>
    <w:p>
      <w:pPr>
        <w:spacing w:before="120" w:beforeLines="50" w:after="120" w:line="260" w:lineRule="exact"/>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For online training, data collection should be terminated at the same entity with model training and model inference.</w:t>
      </w:r>
    </w:p>
    <w:p>
      <w:pPr>
        <w:spacing w:before="120" w:beforeLines="50" w:after="120" w:line="260" w:lineRule="exact"/>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For offline training, data collection for model training can be terminated at the same entity or different entities with model inference.</w:t>
      </w:r>
    </w:p>
    <w:p>
      <w:pPr>
        <w:pStyle w:val="8"/>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For CSI feedback and beam management use case, data collection for offline training shall not be terminated at CN.</w:t>
      </w:r>
    </w:p>
    <w:p>
      <w:pPr>
        <w:spacing w:before="120" w:beforeLines="50" w:after="120" w:line="260" w:lineRule="exact"/>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6: Data collection for NW-side model training at UE side is precluded.</w:t>
      </w:r>
    </w:p>
    <w:p>
      <w:pPr>
        <w:spacing w:before="120" w:beforeLines="50" w:after="120" w:line="260" w:lineRule="exact"/>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7: Data collection from network to UE for model training at UE side for UE-side model can be further studied.</w:t>
      </w:r>
    </w:p>
    <w:p>
      <w:pPr>
        <w:spacing w:before="120" w:beforeLines="50" w:after="120" w:line="260" w:lineRule="exact"/>
        <w:rPr>
          <w:rFonts w:hint="default" w:ascii="Arial" w:hAnsi="Arial" w:cs="Arial"/>
          <w:b w:val="0"/>
          <w:bCs/>
          <w:sz w:val="20"/>
          <w:szCs w:val="20"/>
          <w:lang w:val="en-US" w:eastAsia="zh-CN"/>
        </w:rPr>
      </w:pPr>
      <w:r>
        <w:rPr>
          <w:rFonts w:hint="eastAsia" w:ascii="Arial" w:hAnsi="Arial" w:eastAsia="宋体" w:cs="Arial"/>
          <w:b/>
          <w:bCs/>
          <w:kern w:val="0"/>
          <w:sz w:val="20"/>
          <w:szCs w:val="20"/>
          <w:lang w:val="en-US" w:eastAsia="zh-CN"/>
        </w:rPr>
        <w:t>Proposal 8: For model training, the potential data collection frameworks for each use case in Table 1 can be further discussed. Other framework is not precluded.</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u w:val="single"/>
          <w:lang w:val="en-US" w:eastAsia="zh-CN"/>
        </w:rPr>
        <w:t>Data collection for model inference:</w:t>
      </w:r>
    </w:p>
    <w:p>
      <w:pPr>
        <w:spacing w:before="120" w:beforeLines="50" w:after="120" w:line="260" w:lineRule="exact"/>
        <w:rPr>
          <w:rFonts w:hint="default" w:ascii="Arial" w:hAnsi="Arial" w:cs="Arial"/>
          <w:b w:val="0"/>
          <w:bCs/>
          <w:sz w:val="20"/>
          <w:szCs w:val="20"/>
          <w:lang w:val="en-US" w:eastAsia="zh-CN"/>
        </w:rPr>
      </w:pPr>
      <w:r>
        <w:rPr>
          <w:rFonts w:hint="eastAsia" w:ascii="Arial" w:hAnsi="Arial" w:eastAsia="宋体" w:cs="Arial"/>
          <w:b/>
          <w:bCs/>
          <w:kern w:val="0"/>
          <w:sz w:val="20"/>
          <w:szCs w:val="20"/>
          <w:lang w:val="en-US" w:eastAsia="zh-CN"/>
        </w:rPr>
        <w:t>Proposal 9: For model inference, the potential data collection frameworks for each use case in Table 2 can be further discussed. Other framework is not precluded.</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u w:val="single"/>
          <w:lang w:val="en-US" w:eastAsia="zh-CN"/>
        </w:rPr>
        <w:t>Data collection for model monitoring:</w:t>
      </w:r>
    </w:p>
    <w:p>
      <w:pPr>
        <w:spacing w:before="120" w:beforeLines="50" w:after="120" w:line="260" w:lineRule="exact"/>
        <w:rPr>
          <w:rFonts w:hint="default" w:ascii="Arial" w:hAnsi="Arial" w:cs="Arial"/>
          <w:b w:val="0"/>
          <w:bCs/>
          <w:sz w:val="20"/>
          <w:szCs w:val="20"/>
          <w:lang w:val="en-US" w:eastAsia="zh-CN"/>
        </w:rPr>
      </w:pPr>
      <w:r>
        <w:rPr>
          <w:rFonts w:hint="eastAsia" w:ascii="Arial" w:hAnsi="Arial" w:eastAsia="宋体" w:cs="Arial"/>
          <w:b/>
          <w:bCs/>
          <w:kern w:val="0"/>
          <w:sz w:val="20"/>
          <w:szCs w:val="20"/>
          <w:lang w:val="en-US" w:eastAsia="zh-CN"/>
        </w:rPr>
        <w:t>Proposal 10: For model monitoring, the potential data collection frameworks for each use case in Table 3 can be further discussed. Other framework is not precluded.</w:t>
      </w:r>
    </w:p>
    <w:p>
      <w:pPr>
        <w:widowControl/>
        <w:spacing w:before="120" w:beforeLines="50" w:after="180"/>
        <w:rPr>
          <w:rFonts w:ascii="Arial" w:hAnsi="Arial" w:eastAsia="宋体" w:cs="Arial"/>
          <w:b/>
          <w:bCs/>
          <w:kern w:val="0"/>
          <w:szCs w:val="21"/>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29"/>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ascii="Arial" w:hAnsi="Arial" w:eastAsia="宋体" w:cs="Arial"/>
          <w:kern w:val="0"/>
          <w:sz w:val="20"/>
          <w:szCs w:val="20"/>
          <w:lang w:val="en-GB" w:eastAsia="en-US"/>
        </w:rPr>
        <w:t>R</w:t>
      </w:r>
      <w:r>
        <w:rPr>
          <w:rFonts w:hint="eastAsia" w:ascii="Arial" w:hAnsi="Arial" w:eastAsia="宋体" w:cs="Arial"/>
          <w:kern w:val="0"/>
          <w:sz w:val="20"/>
          <w:szCs w:val="20"/>
          <w:lang w:val="en-US" w:eastAsia="zh-CN"/>
        </w:rPr>
        <w:t>2</w:t>
      </w:r>
      <w:r>
        <w:rPr>
          <w:rFonts w:ascii="Arial" w:hAnsi="Arial" w:eastAsia="宋体" w:cs="Arial"/>
          <w:kern w:val="0"/>
          <w:sz w:val="20"/>
          <w:szCs w:val="20"/>
          <w:lang w:val="en-GB" w:eastAsia="en-US"/>
        </w:rPr>
        <w:t>-2</w:t>
      </w:r>
      <w:r>
        <w:rPr>
          <w:rFonts w:hint="eastAsia" w:ascii="Arial" w:hAnsi="Arial" w:eastAsia="宋体" w:cs="Arial"/>
          <w:kern w:val="0"/>
          <w:sz w:val="20"/>
          <w:szCs w:val="20"/>
          <w:lang w:val="en-US" w:eastAsia="zh-CN"/>
        </w:rPr>
        <w:t>30XXXX</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GB" w:eastAsia="en-US"/>
        </w:rPr>
        <w:t>Report of 3GPP TSG RAN WG2 meeting #121, Athens, Greece</w:t>
      </w:r>
    </w:p>
    <w:p>
      <w:pPr>
        <w:widowControl/>
        <w:numPr>
          <w:ilvl w:val="0"/>
          <w:numId w:val="29"/>
        </w:numPr>
        <w:overflowPunct w:val="0"/>
        <w:autoSpaceDE w:val="0"/>
        <w:autoSpaceDN w:val="0"/>
        <w:adjustRightInd w:val="0"/>
        <w:spacing w:after="180"/>
        <w:jc w:val="left"/>
        <w:textAlignment w:val="baseline"/>
        <w:rPr>
          <w:sz w:val="20"/>
          <w:szCs w:val="20"/>
          <w:lang w:val="en-GB"/>
        </w:rPr>
      </w:pPr>
      <w:r>
        <w:rPr>
          <w:rFonts w:ascii="Arial" w:hAnsi="Arial" w:eastAsia="宋体" w:cs="Arial"/>
          <w:kern w:val="0"/>
          <w:sz w:val="20"/>
          <w:szCs w:val="20"/>
          <w:lang w:val="en-GB" w:eastAsia="en-US"/>
        </w:rPr>
        <w:t>R</w:t>
      </w:r>
      <w:r>
        <w:rPr>
          <w:rFonts w:hint="eastAsia" w:ascii="Arial" w:hAnsi="Arial" w:eastAsia="宋体" w:cs="Arial"/>
          <w:kern w:val="0"/>
          <w:sz w:val="20"/>
          <w:szCs w:val="20"/>
          <w:lang w:val="en-US" w:eastAsia="zh-CN"/>
        </w:rPr>
        <w:t>2</w:t>
      </w:r>
      <w:r>
        <w:rPr>
          <w:rFonts w:ascii="Arial" w:hAnsi="Arial" w:eastAsia="宋体" w:cs="Arial"/>
          <w:kern w:val="0"/>
          <w:sz w:val="20"/>
          <w:szCs w:val="20"/>
          <w:lang w:val="en-GB" w:eastAsia="en-US"/>
        </w:rPr>
        <w:t>-2</w:t>
      </w:r>
      <w:r>
        <w:rPr>
          <w:rFonts w:hint="eastAsia" w:ascii="Arial" w:hAnsi="Arial" w:eastAsia="宋体" w:cs="Arial"/>
          <w:kern w:val="0"/>
          <w:sz w:val="20"/>
          <w:szCs w:val="20"/>
          <w:lang w:val="en-US" w:eastAsia="zh-CN"/>
        </w:rPr>
        <w:t>302286</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GB" w:eastAsia="en-US"/>
        </w:rPr>
        <w:t>Summary of [AT121][025]: Progress table of analyzing data collection framework (Apple)</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69842"/>
    <w:multiLevelType w:val="singleLevel"/>
    <w:tmpl w:val="84569842"/>
    <w:lvl w:ilvl="0" w:tentative="0">
      <w:start w:val="1"/>
      <w:numFmt w:val="decimal"/>
      <w:lvlText w:val="%1)"/>
      <w:lvlJc w:val="left"/>
      <w:pPr>
        <w:ind w:left="425" w:hanging="425"/>
      </w:pPr>
      <w:rPr>
        <w:rFonts w:hint="default"/>
      </w:rPr>
    </w:lvl>
  </w:abstractNum>
  <w:abstractNum w:abstractNumId="1">
    <w:nsid w:val="97A2DFF4"/>
    <w:multiLevelType w:val="singleLevel"/>
    <w:tmpl w:val="97A2DFF4"/>
    <w:lvl w:ilvl="0" w:tentative="0">
      <w:start w:val="1"/>
      <w:numFmt w:val="decimal"/>
      <w:lvlText w:val="%1)"/>
      <w:lvlJc w:val="left"/>
      <w:pPr>
        <w:ind w:left="425" w:hanging="425"/>
      </w:pPr>
      <w:rPr>
        <w:rFonts w:hint="default"/>
      </w:rPr>
    </w:lvl>
  </w:abstractNum>
  <w:abstractNum w:abstractNumId="2">
    <w:nsid w:val="B7A24730"/>
    <w:multiLevelType w:val="singleLevel"/>
    <w:tmpl w:val="B7A24730"/>
    <w:lvl w:ilvl="0" w:tentative="0">
      <w:start w:val="1"/>
      <w:numFmt w:val="decimal"/>
      <w:lvlText w:val="%1)"/>
      <w:lvlJc w:val="left"/>
      <w:pPr>
        <w:ind w:left="425" w:hanging="425"/>
      </w:pPr>
      <w:rPr>
        <w:rFonts w:hint="default"/>
      </w:rPr>
    </w:lvl>
  </w:abstractNum>
  <w:abstractNum w:abstractNumId="3">
    <w:nsid w:val="D5918A2B"/>
    <w:multiLevelType w:val="singleLevel"/>
    <w:tmpl w:val="D5918A2B"/>
    <w:lvl w:ilvl="0" w:tentative="0">
      <w:start w:val="1"/>
      <w:numFmt w:val="decimal"/>
      <w:lvlText w:val="%1)"/>
      <w:lvlJc w:val="left"/>
      <w:pPr>
        <w:ind w:left="425" w:hanging="425"/>
      </w:pPr>
      <w:rPr>
        <w:rFonts w:hint="default"/>
      </w:rPr>
    </w:lvl>
  </w:abstractNum>
  <w:abstractNum w:abstractNumId="4">
    <w:nsid w:val="DF5B9EED"/>
    <w:multiLevelType w:val="singleLevel"/>
    <w:tmpl w:val="DF5B9EED"/>
    <w:lvl w:ilvl="0" w:tentative="0">
      <w:start w:val="1"/>
      <w:numFmt w:val="decimal"/>
      <w:lvlText w:val="%1)"/>
      <w:lvlJc w:val="left"/>
      <w:pPr>
        <w:ind w:left="425" w:hanging="425"/>
      </w:pPr>
      <w:rPr>
        <w:rFonts w:hint="default"/>
      </w:rPr>
    </w:lvl>
  </w:abstractNum>
  <w:abstractNum w:abstractNumId="5">
    <w:nsid w:val="FBA0DEA5"/>
    <w:multiLevelType w:val="singleLevel"/>
    <w:tmpl w:val="FBA0DEA5"/>
    <w:lvl w:ilvl="0" w:tentative="0">
      <w:start w:val="1"/>
      <w:numFmt w:val="decimal"/>
      <w:lvlText w:val="%1)"/>
      <w:lvlJc w:val="left"/>
      <w:pPr>
        <w:ind w:left="425" w:hanging="425"/>
      </w:pPr>
      <w:rPr>
        <w:rFonts w:hint="default"/>
      </w:rPr>
    </w:lvl>
  </w:abstractNum>
  <w:abstractNum w:abstractNumId="6">
    <w:nsid w:val="FDB0C51F"/>
    <w:multiLevelType w:val="singleLevel"/>
    <w:tmpl w:val="FDB0C51F"/>
    <w:lvl w:ilvl="0" w:tentative="0">
      <w:start w:val="1"/>
      <w:numFmt w:val="decimal"/>
      <w:lvlText w:val="%1)"/>
      <w:lvlJc w:val="left"/>
      <w:pPr>
        <w:ind w:left="425" w:hanging="425"/>
      </w:pPr>
      <w:rPr>
        <w:rFonts w:hint="default"/>
      </w:rPr>
    </w:lvl>
  </w:abstractNum>
  <w:abstractNum w:abstractNumId="7">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033F2633"/>
    <w:multiLevelType w:val="multilevel"/>
    <w:tmpl w:val="033F2633"/>
    <w:lvl w:ilvl="0" w:tentative="0">
      <w:start w:val="1"/>
      <w:numFmt w:val="decimal"/>
      <w:lvlText w:val="%1)"/>
      <w:lvlJc w:val="left"/>
      <w:pPr>
        <w:ind w:left="360" w:hanging="360"/>
      </w:pPr>
      <w:rPr>
        <w:rFonts w:hint="default"/>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08EC7A40"/>
    <w:multiLevelType w:val="multilevel"/>
    <w:tmpl w:val="08EC7A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15220A1"/>
    <w:multiLevelType w:val="multilevel"/>
    <w:tmpl w:val="115220A1"/>
    <w:lvl w:ilvl="0" w:tentative="0">
      <w:start w:val="1"/>
      <w:numFmt w:val="decimal"/>
      <w:lvlText w:val="%1)"/>
      <w:lvlJc w:val="left"/>
      <w:pPr>
        <w:ind w:left="360" w:hanging="360"/>
      </w:pPr>
    </w:lvl>
    <w:lvl w:ilvl="1" w:tentative="0">
      <w:start w:val="1"/>
      <w:numFmt w:val="bullet"/>
      <w:lvlText w:val=""/>
      <w:lvlJc w:val="left"/>
      <w:pPr>
        <w:ind w:left="72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18633A1C"/>
    <w:multiLevelType w:val="multilevel"/>
    <w:tmpl w:val="18633A1C"/>
    <w:lvl w:ilvl="0" w:tentative="0">
      <w:start w:val="1"/>
      <w:numFmt w:val="decimal"/>
      <w:lvlText w:val="%1)"/>
      <w:lvlJc w:val="left"/>
      <w:pPr>
        <w:ind w:left="360" w:hanging="360"/>
      </w:pPr>
    </w:lvl>
    <w:lvl w:ilvl="1" w:tentative="0">
      <w:start w:val="1"/>
      <w:numFmt w:val="bullet"/>
      <w:lvlText w:val=""/>
      <w:lvlJc w:val="left"/>
      <w:pPr>
        <w:ind w:left="72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19A92169"/>
    <w:multiLevelType w:val="multilevel"/>
    <w:tmpl w:val="19A921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639EABD"/>
    <w:multiLevelType w:val="singleLevel"/>
    <w:tmpl w:val="2639EABD"/>
    <w:lvl w:ilvl="0" w:tentative="0">
      <w:start w:val="1"/>
      <w:numFmt w:val="decimal"/>
      <w:lvlText w:val="%1)"/>
      <w:lvlJc w:val="left"/>
      <w:pPr>
        <w:ind w:left="425" w:hanging="425"/>
      </w:pPr>
      <w:rPr>
        <w:rFonts w:hint="default"/>
      </w:rPr>
    </w:lvl>
  </w:abstractNum>
  <w:abstractNum w:abstractNumId="14">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5">
    <w:nsid w:val="2E8261E9"/>
    <w:multiLevelType w:val="multilevel"/>
    <w:tmpl w:val="2E8261E9"/>
    <w:lvl w:ilvl="0" w:tentative="0">
      <w:start w:val="1"/>
      <w:numFmt w:val="decimal"/>
      <w:lvlText w:val="%1)"/>
      <w:lvlJc w:val="left"/>
      <w:pPr>
        <w:ind w:left="360" w:hanging="360"/>
      </w:pPr>
      <w:rPr>
        <w:rFonts w:hint="default"/>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6">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7">
    <w:nsid w:val="3D2A2A60"/>
    <w:multiLevelType w:val="singleLevel"/>
    <w:tmpl w:val="3D2A2A60"/>
    <w:lvl w:ilvl="0" w:tentative="0">
      <w:start w:val="1"/>
      <w:numFmt w:val="decimal"/>
      <w:lvlText w:val="%1)"/>
      <w:lvlJc w:val="left"/>
      <w:pPr>
        <w:ind w:left="425" w:hanging="425"/>
      </w:pPr>
      <w:rPr>
        <w:rFonts w:hint="default"/>
      </w:rPr>
    </w:lvl>
  </w:abstractNum>
  <w:abstractNum w:abstractNumId="18">
    <w:nsid w:val="400A0BFE"/>
    <w:multiLevelType w:val="multilevel"/>
    <w:tmpl w:val="400A0B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0">
    <w:nsid w:val="46B8340B"/>
    <w:multiLevelType w:val="multilevel"/>
    <w:tmpl w:val="46B8340B"/>
    <w:lvl w:ilvl="0" w:tentative="0">
      <w:start w:val="1"/>
      <w:numFmt w:val="decimal"/>
      <w:lvlText w:val="%1)"/>
      <w:lvlJc w:val="left"/>
      <w:pPr>
        <w:ind w:left="360" w:hanging="360"/>
      </w:pPr>
    </w:lvl>
    <w:lvl w:ilvl="1" w:tentative="0">
      <w:start w:val="1"/>
      <w:numFmt w:val="bullet"/>
      <w:lvlText w:val=""/>
      <w:lvlJc w:val="left"/>
      <w:pPr>
        <w:ind w:left="72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1">
    <w:nsid w:val="47EC7650"/>
    <w:multiLevelType w:val="multilevel"/>
    <w:tmpl w:val="47EC76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4C3B49B0"/>
    <w:multiLevelType w:val="multilevel"/>
    <w:tmpl w:val="4C3B49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50BED944"/>
    <w:multiLevelType w:val="singleLevel"/>
    <w:tmpl w:val="50BED944"/>
    <w:lvl w:ilvl="0" w:tentative="0">
      <w:start w:val="1"/>
      <w:numFmt w:val="decimal"/>
      <w:lvlText w:val="%1"/>
      <w:lvlJc w:val="left"/>
    </w:lvl>
  </w:abstractNum>
  <w:abstractNum w:abstractNumId="24">
    <w:nsid w:val="58F87536"/>
    <w:multiLevelType w:val="multilevel"/>
    <w:tmpl w:val="58F87536"/>
    <w:lvl w:ilvl="0" w:tentative="0">
      <w:start w:val="1"/>
      <w:numFmt w:val="decimal"/>
      <w:lvlText w:val="%1)"/>
      <w:lvlJc w:val="left"/>
      <w:pPr>
        <w:ind w:left="360" w:hanging="360"/>
      </w:pPr>
    </w:lvl>
    <w:lvl w:ilvl="1" w:tentative="0">
      <w:start w:val="1"/>
      <w:numFmt w:val="bullet"/>
      <w:lvlText w:val=""/>
      <w:lvlJc w:val="left"/>
      <w:pPr>
        <w:ind w:left="72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5">
    <w:nsid w:val="697D1FE8"/>
    <w:multiLevelType w:val="multilevel"/>
    <w:tmpl w:val="697D1FE8"/>
    <w:lvl w:ilvl="0" w:tentative="0">
      <w:start w:val="1"/>
      <w:numFmt w:val="decimal"/>
      <w:lvlText w:val="%1)"/>
      <w:lvlJc w:val="left"/>
      <w:pPr>
        <w:ind w:left="360" w:hanging="360"/>
      </w:pPr>
    </w:lvl>
    <w:lvl w:ilvl="1" w:tentative="0">
      <w:start w:val="1"/>
      <w:numFmt w:val="bullet"/>
      <w:lvlText w:val=""/>
      <w:lvlJc w:val="left"/>
      <w:pPr>
        <w:ind w:left="72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6">
    <w:nsid w:val="70146DC0"/>
    <w:multiLevelType w:val="multilevel"/>
    <w:tmpl w:val="70146DC0"/>
    <w:lvl w:ilvl="0" w:tentative="0">
      <w:start w:val="1"/>
      <w:numFmt w:val="bullet"/>
      <w:pStyle w:val="31"/>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18D7D2E"/>
    <w:multiLevelType w:val="multilevel"/>
    <w:tmpl w:val="718D7D2E"/>
    <w:lvl w:ilvl="0" w:tentative="0">
      <w:start w:val="1"/>
      <w:numFmt w:val="decimal"/>
      <w:pStyle w:val="2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79AD3664"/>
    <w:multiLevelType w:val="multilevel"/>
    <w:tmpl w:val="79AD3664"/>
    <w:lvl w:ilvl="0" w:tentative="0">
      <w:start w:val="1"/>
      <w:numFmt w:val="decimal"/>
      <w:lvlText w:val="%1)"/>
      <w:lvlJc w:val="left"/>
      <w:pPr>
        <w:ind w:left="360" w:hanging="360"/>
      </w:p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ind w:left="1980" w:hanging="360"/>
      </w:pPr>
      <w:rPr>
        <w:rFonts w:hint="default" w:ascii="Symbol" w:hAnsi="Symbol"/>
      </w:r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9"/>
  </w:num>
  <w:num w:numId="2">
    <w:abstractNumId w:val="7"/>
  </w:num>
  <w:num w:numId="3">
    <w:abstractNumId w:val="27"/>
  </w:num>
  <w:num w:numId="4">
    <w:abstractNumId w:val="26"/>
  </w:num>
  <w:num w:numId="5">
    <w:abstractNumId w:val="23"/>
  </w:num>
  <w:num w:numId="6">
    <w:abstractNumId w:val="24"/>
  </w:num>
  <w:num w:numId="7">
    <w:abstractNumId w:val="8"/>
  </w:num>
  <w:num w:numId="8">
    <w:abstractNumId w:val="28"/>
  </w:num>
  <w:num w:numId="9">
    <w:abstractNumId w:val="15"/>
  </w:num>
  <w:num w:numId="10">
    <w:abstractNumId w:val="10"/>
  </w:num>
  <w:num w:numId="11">
    <w:abstractNumId w:val="20"/>
  </w:num>
  <w:num w:numId="12">
    <w:abstractNumId w:val="25"/>
  </w:num>
  <w:num w:numId="13">
    <w:abstractNumId w:val="11"/>
  </w:num>
  <w:num w:numId="14">
    <w:abstractNumId w:val="14"/>
  </w:num>
  <w:num w:numId="15">
    <w:abstractNumId w:val="22"/>
  </w:num>
  <w:num w:numId="16">
    <w:abstractNumId w:val="6"/>
  </w:num>
  <w:num w:numId="17">
    <w:abstractNumId w:val="17"/>
  </w:num>
  <w:num w:numId="18">
    <w:abstractNumId w:val="13"/>
  </w:num>
  <w:num w:numId="19">
    <w:abstractNumId w:val="21"/>
  </w:num>
  <w:num w:numId="20">
    <w:abstractNumId w:val="12"/>
  </w:num>
  <w:num w:numId="21">
    <w:abstractNumId w:val="3"/>
  </w:num>
  <w:num w:numId="22">
    <w:abstractNumId w:val="4"/>
  </w:num>
  <w:num w:numId="23">
    <w:abstractNumId w:val="5"/>
  </w:num>
  <w:num w:numId="24">
    <w:abstractNumId w:val="18"/>
  </w:num>
  <w:num w:numId="25">
    <w:abstractNumId w:val="9"/>
  </w:num>
  <w:num w:numId="26">
    <w:abstractNumId w:val="0"/>
  </w:num>
  <w:num w:numId="27">
    <w:abstractNumId w:val="1"/>
  </w:num>
  <w:num w:numId="28">
    <w:abstractNumId w:val="2"/>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D110D"/>
    <w:rsid w:val="008E4F97"/>
    <w:rsid w:val="00940BA3"/>
    <w:rsid w:val="00950D36"/>
    <w:rsid w:val="00956A27"/>
    <w:rsid w:val="00982B04"/>
    <w:rsid w:val="009924F0"/>
    <w:rsid w:val="009962E7"/>
    <w:rsid w:val="009D3F27"/>
    <w:rsid w:val="009E00D2"/>
    <w:rsid w:val="009E36A7"/>
    <w:rsid w:val="009E6BC9"/>
    <w:rsid w:val="00A350C4"/>
    <w:rsid w:val="00AC3458"/>
    <w:rsid w:val="00AD67D5"/>
    <w:rsid w:val="00AD727F"/>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840FB9"/>
    <w:rsid w:val="01A574CF"/>
    <w:rsid w:val="01E966BF"/>
    <w:rsid w:val="029B08C6"/>
    <w:rsid w:val="02A424C3"/>
    <w:rsid w:val="02FA6D08"/>
    <w:rsid w:val="0300491B"/>
    <w:rsid w:val="030E32B0"/>
    <w:rsid w:val="038A1F16"/>
    <w:rsid w:val="041A101A"/>
    <w:rsid w:val="04A12BB9"/>
    <w:rsid w:val="04A37BF0"/>
    <w:rsid w:val="04FD5053"/>
    <w:rsid w:val="054134AD"/>
    <w:rsid w:val="05AD7C3D"/>
    <w:rsid w:val="05B81468"/>
    <w:rsid w:val="05FB3716"/>
    <w:rsid w:val="061355E6"/>
    <w:rsid w:val="069766D8"/>
    <w:rsid w:val="06EB297F"/>
    <w:rsid w:val="06F44776"/>
    <w:rsid w:val="071830B3"/>
    <w:rsid w:val="072E12A5"/>
    <w:rsid w:val="072E4FA9"/>
    <w:rsid w:val="07554650"/>
    <w:rsid w:val="079F7BD5"/>
    <w:rsid w:val="07CC0B7F"/>
    <w:rsid w:val="08241B14"/>
    <w:rsid w:val="08346E32"/>
    <w:rsid w:val="084F3982"/>
    <w:rsid w:val="08BD2F14"/>
    <w:rsid w:val="093223D0"/>
    <w:rsid w:val="09414F75"/>
    <w:rsid w:val="094470AB"/>
    <w:rsid w:val="095A6DFD"/>
    <w:rsid w:val="09926330"/>
    <w:rsid w:val="09B92009"/>
    <w:rsid w:val="09D63199"/>
    <w:rsid w:val="09F124DC"/>
    <w:rsid w:val="0A103B20"/>
    <w:rsid w:val="0A1469F1"/>
    <w:rsid w:val="0A173D8A"/>
    <w:rsid w:val="0AAC7074"/>
    <w:rsid w:val="0AB622D1"/>
    <w:rsid w:val="0AE21792"/>
    <w:rsid w:val="0B11078A"/>
    <w:rsid w:val="0B7E67EB"/>
    <w:rsid w:val="0B96175E"/>
    <w:rsid w:val="0BB81E48"/>
    <w:rsid w:val="0BF550E1"/>
    <w:rsid w:val="0C202296"/>
    <w:rsid w:val="0C415301"/>
    <w:rsid w:val="0C4853AF"/>
    <w:rsid w:val="0C5466CF"/>
    <w:rsid w:val="0C7F3E15"/>
    <w:rsid w:val="0CC05689"/>
    <w:rsid w:val="0CD5224C"/>
    <w:rsid w:val="0CE47224"/>
    <w:rsid w:val="0D362C45"/>
    <w:rsid w:val="0D711EBE"/>
    <w:rsid w:val="0D771EA7"/>
    <w:rsid w:val="0DA728AC"/>
    <w:rsid w:val="0DAD175B"/>
    <w:rsid w:val="0DE14E46"/>
    <w:rsid w:val="0E3D4FDF"/>
    <w:rsid w:val="0E4A09D7"/>
    <w:rsid w:val="0E6E3C34"/>
    <w:rsid w:val="0F1D748A"/>
    <w:rsid w:val="0F4E079B"/>
    <w:rsid w:val="0F782620"/>
    <w:rsid w:val="0F8A7784"/>
    <w:rsid w:val="0FC803F4"/>
    <w:rsid w:val="10090A65"/>
    <w:rsid w:val="108B22CD"/>
    <w:rsid w:val="10C31C47"/>
    <w:rsid w:val="10C64AE7"/>
    <w:rsid w:val="10F04644"/>
    <w:rsid w:val="110171B2"/>
    <w:rsid w:val="111F30A5"/>
    <w:rsid w:val="119B1CE5"/>
    <w:rsid w:val="11D44799"/>
    <w:rsid w:val="11E4251C"/>
    <w:rsid w:val="123900DB"/>
    <w:rsid w:val="123B6254"/>
    <w:rsid w:val="12934DEA"/>
    <w:rsid w:val="12A73823"/>
    <w:rsid w:val="12B04029"/>
    <w:rsid w:val="12DA4242"/>
    <w:rsid w:val="130A48C3"/>
    <w:rsid w:val="132303DD"/>
    <w:rsid w:val="1331496D"/>
    <w:rsid w:val="13392934"/>
    <w:rsid w:val="13583AE1"/>
    <w:rsid w:val="1358580E"/>
    <w:rsid w:val="139327D8"/>
    <w:rsid w:val="13A46671"/>
    <w:rsid w:val="14256000"/>
    <w:rsid w:val="1466786F"/>
    <w:rsid w:val="14A9029F"/>
    <w:rsid w:val="14E836E8"/>
    <w:rsid w:val="14F142C3"/>
    <w:rsid w:val="152B1104"/>
    <w:rsid w:val="154A66B0"/>
    <w:rsid w:val="159C7EDD"/>
    <w:rsid w:val="15BE553B"/>
    <w:rsid w:val="15E03E14"/>
    <w:rsid w:val="161147C5"/>
    <w:rsid w:val="16327956"/>
    <w:rsid w:val="166A7A3B"/>
    <w:rsid w:val="16725680"/>
    <w:rsid w:val="16A3322F"/>
    <w:rsid w:val="16C120B7"/>
    <w:rsid w:val="16D51B5B"/>
    <w:rsid w:val="17AE49E6"/>
    <w:rsid w:val="17CD5A7B"/>
    <w:rsid w:val="18035F6A"/>
    <w:rsid w:val="185C58E1"/>
    <w:rsid w:val="186366A3"/>
    <w:rsid w:val="187A66B9"/>
    <w:rsid w:val="1881324F"/>
    <w:rsid w:val="192F165F"/>
    <w:rsid w:val="195E3B99"/>
    <w:rsid w:val="1A9A126F"/>
    <w:rsid w:val="1AA4601E"/>
    <w:rsid w:val="1ABF7C53"/>
    <w:rsid w:val="1ADE6206"/>
    <w:rsid w:val="1AE7452F"/>
    <w:rsid w:val="1B5E2B2B"/>
    <w:rsid w:val="1BB22919"/>
    <w:rsid w:val="1C263D41"/>
    <w:rsid w:val="1C6673DB"/>
    <w:rsid w:val="1CC529AF"/>
    <w:rsid w:val="1D031FA5"/>
    <w:rsid w:val="1D700D25"/>
    <w:rsid w:val="1DE55E1B"/>
    <w:rsid w:val="1DEA2636"/>
    <w:rsid w:val="1E261FEC"/>
    <w:rsid w:val="1E5D014C"/>
    <w:rsid w:val="1E625159"/>
    <w:rsid w:val="1E6C052F"/>
    <w:rsid w:val="1EB31B66"/>
    <w:rsid w:val="1EB529F8"/>
    <w:rsid w:val="1EF17AB3"/>
    <w:rsid w:val="1F1F4D17"/>
    <w:rsid w:val="1FE63CE8"/>
    <w:rsid w:val="205E7BE3"/>
    <w:rsid w:val="208A18F1"/>
    <w:rsid w:val="208D63E6"/>
    <w:rsid w:val="20A506BA"/>
    <w:rsid w:val="20F63843"/>
    <w:rsid w:val="20FE18B0"/>
    <w:rsid w:val="215A766D"/>
    <w:rsid w:val="220A4513"/>
    <w:rsid w:val="22B32E1B"/>
    <w:rsid w:val="22CD6AE0"/>
    <w:rsid w:val="236906A5"/>
    <w:rsid w:val="2375481A"/>
    <w:rsid w:val="23822B30"/>
    <w:rsid w:val="23EE120B"/>
    <w:rsid w:val="2403705B"/>
    <w:rsid w:val="249D5D77"/>
    <w:rsid w:val="24B445FB"/>
    <w:rsid w:val="24C74F14"/>
    <w:rsid w:val="24D708E2"/>
    <w:rsid w:val="251B6F7E"/>
    <w:rsid w:val="252515BC"/>
    <w:rsid w:val="25F5013E"/>
    <w:rsid w:val="262A1C6D"/>
    <w:rsid w:val="26315BFD"/>
    <w:rsid w:val="26537397"/>
    <w:rsid w:val="26A276B5"/>
    <w:rsid w:val="26BA68C7"/>
    <w:rsid w:val="27BE3E87"/>
    <w:rsid w:val="27C17045"/>
    <w:rsid w:val="27C35275"/>
    <w:rsid w:val="283167B4"/>
    <w:rsid w:val="28682A73"/>
    <w:rsid w:val="28E404D9"/>
    <w:rsid w:val="28F4407D"/>
    <w:rsid w:val="291138C7"/>
    <w:rsid w:val="29A61468"/>
    <w:rsid w:val="29BE37C1"/>
    <w:rsid w:val="2A7D74CC"/>
    <w:rsid w:val="2A7F4563"/>
    <w:rsid w:val="2B3F4C1F"/>
    <w:rsid w:val="2B4D1216"/>
    <w:rsid w:val="2B58393A"/>
    <w:rsid w:val="2BE06712"/>
    <w:rsid w:val="2C095760"/>
    <w:rsid w:val="2C6E581C"/>
    <w:rsid w:val="2D146D2C"/>
    <w:rsid w:val="2D3B7B03"/>
    <w:rsid w:val="2D440581"/>
    <w:rsid w:val="2D470656"/>
    <w:rsid w:val="2D493ADC"/>
    <w:rsid w:val="2D55451C"/>
    <w:rsid w:val="2D5B158F"/>
    <w:rsid w:val="2DF144D1"/>
    <w:rsid w:val="2DFB6036"/>
    <w:rsid w:val="2EA86437"/>
    <w:rsid w:val="2EB103B1"/>
    <w:rsid w:val="2F383A5C"/>
    <w:rsid w:val="2F4559EE"/>
    <w:rsid w:val="2FBE43F5"/>
    <w:rsid w:val="2FC53C32"/>
    <w:rsid w:val="2FD157C7"/>
    <w:rsid w:val="300A115E"/>
    <w:rsid w:val="30296BB8"/>
    <w:rsid w:val="309D4655"/>
    <w:rsid w:val="30C026F3"/>
    <w:rsid w:val="315423FA"/>
    <w:rsid w:val="315B7AEC"/>
    <w:rsid w:val="317503B0"/>
    <w:rsid w:val="31D53C4D"/>
    <w:rsid w:val="31F71A11"/>
    <w:rsid w:val="31FE12AB"/>
    <w:rsid w:val="321B4537"/>
    <w:rsid w:val="32513A45"/>
    <w:rsid w:val="32B50B2C"/>
    <w:rsid w:val="32C84DFE"/>
    <w:rsid w:val="3337740D"/>
    <w:rsid w:val="33805DA1"/>
    <w:rsid w:val="33934B2E"/>
    <w:rsid w:val="33C37075"/>
    <w:rsid w:val="34062C68"/>
    <w:rsid w:val="34B443F6"/>
    <w:rsid w:val="34E12F4E"/>
    <w:rsid w:val="34EC41DF"/>
    <w:rsid w:val="35040A33"/>
    <w:rsid w:val="351A24AD"/>
    <w:rsid w:val="354E123E"/>
    <w:rsid w:val="354F2AD2"/>
    <w:rsid w:val="35C60438"/>
    <w:rsid w:val="360D6591"/>
    <w:rsid w:val="361F2C5E"/>
    <w:rsid w:val="363976F7"/>
    <w:rsid w:val="366E68DA"/>
    <w:rsid w:val="36E02E58"/>
    <w:rsid w:val="36F84B57"/>
    <w:rsid w:val="3751494E"/>
    <w:rsid w:val="375A24EA"/>
    <w:rsid w:val="37757EA8"/>
    <w:rsid w:val="37D62F7A"/>
    <w:rsid w:val="3801173C"/>
    <w:rsid w:val="38060F79"/>
    <w:rsid w:val="38746ABC"/>
    <w:rsid w:val="38761BD7"/>
    <w:rsid w:val="38AE69D5"/>
    <w:rsid w:val="38FC32F5"/>
    <w:rsid w:val="39030A9D"/>
    <w:rsid w:val="396866FD"/>
    <w:rsid w:val="397E03C2"/>
    <w:rsid w:val="39DF043A"/>
    <w:rsid w:val="3A070DC0"/>
    <w:rsid w:val="3A2065C7"/>
    <w:rsid w:val="3A34378D"/>
    <w:rsid w:val="3A36160B"/>
    <w:rsid w:val="3AFB6043"/>
    <w:rsid w:val="3B295FAA"/>
    <w:rsid w:val="3B5C6A72"/>
    <w:rsid w:val="3B7F2CAA"/>
    <w:rsid w:val="3C1A13DF"/>
    <w:rsid w:val="3C635FA0"/>
    <w:rsid w:val="3C8659AE"/>
    <w:rsid w:val="3CA66A58"/>
    <w:rsid w:val="3CBE3C7C"/>
    <w:rsid w:val="3CD165D4"/>
    <w:rsid w:val="3CF316DB"/>
    <w:rsid w:val="3D5B3EF0"/>
    <w:rsid w:val="3D5C58DF"/>
    <w:rsid w:val="3DB23DD9"/>
    <w:rsid w:val="3E390C78"/>
    <w:rsid w:val="3E500D27"/>
    <w:rsid w:val="3E573ADE"/>
    <w:rsid w:val="3EA55E90"/>
    <w:rsid w:val="3ECD0998"/>
    <w:rsid w:val="3ED508CA"/>
    <w:rsid w:val="3F1109BC"/>
    <w:rsid w:val="3F1B7587"/>
    <w:rsid w:val="3F805B16"/>
    <w:rsid w:val="3FA42170"/>
    <w:rsid w:val="3FAF36DB"/>
    <w:rsid w:val="405759DA"/>
    <w:rsid w:val="406A14B3"/>
    <w:rsid w:val="407C15D8"/>
    <w:rsid w:val="41171B69"/>
    <w:rsid w:val="41415E9E"/>
    <w:rsid w:val="41883A8E"/>
    <w:rsid w:val="418A60B4"/>
    <w:rsid w:val="41B370D6"/>
    <w:rsid w:val="42212582"/>
    <w:rsid w:val="42755843"/>
    <w:rsid w:val="42C70708"/>
    <w:rsid w:val="42E0254C"/>
    <w:rsid w:val="42F40D67"/>
    <w:rsid w:val="43146FF6"/>
    <w:rsid w:val="433204F8"/>
    <w:rsid w:val="433C3AAA"/>
    <w:rsid w:val="43964A1C"/>
    <w:rsid w:val="447943E7"/>
    <w:rsid w:val="44B41FCD"/>
    <w:rsid w:val="44F46625"/>
    <w:rsid w:val="454C191C"/>
    <w:rsid w:val="459911EE"/>
    <w:rsid w:val="4599227F"/>
    <w:rsid w:val="45BE024B"/>
    <w:rsid w:val="45BE2AD4"/>
    <w:rsid w:val="45C2437E"/>
    <w:rsid w:val="45EA2721"/>
    <w:rsid w:val="46300B95"/>
    <w:rsid w:val="4699240B"/>
    <w:rsid w:val="46B7014A"/>
    <w:rsid w:val="46ED5CA5"/>
    <w:rsid w:val="46FE4C6E"/>
    <w:rsid w:val="475A659D"/>
    <w:rsid w:val="476207DA"/>
    <w:rsid w:val="47944B93"/>
    <w:rsid w:val="47C04462"/>
    <w:rsid w:val="47C96CD1"/>
    <w:rsid w:val="47D84F8A"/>
    <w:rsid w:val="47DB6ABB"/>
    <w:rsid w:val="48083448"/>
    <w:rsid w:val="48460696"/>
    <w:rsid w:val="492E569F"/>
    <w:rsid w:val="494B446A"/>
    <w:rsid w:val="494E1C27"/>
    <w:rsid w:val="49A36AB0"/>
    <w:rsid w:val="49A97E85"/>
    <w:rsid w:val="49D92DDD"/>
    <w:rsid w:val="4A444508"/>
    <w:rsid w:val="4A456A14"/>
    <w:rsid w:val="4A66451F"/>
    <w:rsid w:val="4A9D45B8"/>
    <w:rsid w:val="4A9F545E"/>
    <w:rsid w:val="4AAB056F"/>
    <w:rsid w:val="4BC53B5B"/>
    <w:rsid w:val="4C340FD6"/>
    <w:rsid w:val="4C964045"/>
    <w:rsid w:val="4D010671"/>
    <w:rsid w:val="4D352FBB"/>
    <w:rsid w:val="4D743D8A"/>
    <w:rsid w:val="4E2452B7"/>
    <w:rsid w:val="4E695109"/>
    <w:rsid w:val="4E9C3B92"/>
    <w:rsid w:val="4E9D6524"/>
    <w:rsid w:val="4EAD1AF9"/>
    <w:rsid w:val="4EE23C1E"/>
    <w:rsid w:val="4F1913AC"/>
    <w:rsid w:val="4F6426A9"/>
    <w:rsid w:val="4F7A31F5"/>
    <w:rsid w:val="4FB92CDA"/>
    <w:rsid w:val="4FE775A6"/>
    <w:rsid w:val="4FF54231"/>
    <w:rsid w:val="50077447"/>
    <w:rsid w:val="50652E94"/>
    <w:rsid w:val="50A970CD"/>
    <w:rsid w:val="5163596F"/>
    <w:rsid w:val="51A823AB"/>
    <w:rsid w:val="51CC648B"/>
    <w:rsid w:val="52065DA2"/>
    <w:rsid w:val="522E4D5D"/>
    <w:rsid w:val="52642695"/>
    <w:rsid w:val="528B1069"/>
    <w:rsid w:val="52930D7F"/>
    <w:rsid w:val="5296438C"/>
    <w:rsid w:val="53D170F4"/>
    <w:rsid w:val="54606A92"/>
    <w:rsid w:val="54611A81"/>
    <w:rsid w:val="55846FDD"/>
    <w:rsid w:val="55CD48C4"/>
    <w:rsid w:val="562365CA"/>
    <w:rsid w:val="56340430"/>
    <w:rsid w:val="56581D59"/>
    <w:rsid w:val="568502CA"/>
    <w:rsid w:val="56B0773B"/>
    <w:rsid w:val="571760EF"/>
    <w:rsid w:val="57792910"/>
    <w:rsid w:val="5781180D"/>
    <w:rsid w:val="57C77D46"/>
    <w:rsid w:val="57CF4F1B"/>
    <w:rsid w:val="58201757"/>
    <w:rsid w:val="585818C8"/>
    <w:rsid w:val="58602168"/>
    <w:rsid w:val="58AB4E89"/>
    <w:rsid w:val="58AD7356"/>
    <w:rsid w:val="58B5550E"/>
    <w:rsid w:val="58BD5C76"/>
    <w:rsid w:val="58C11261"/>
    <w:rsid w:val="58C34E9B"/>
    <w:rsid w:val="58D20175"/>
    <w:rsid w:val="59AD7B0E"/>
    <w:rsid w:val="59D55070"/>
    <w:rsid w:val="59FD6E5D"/>
    <w:rsid w:val="5A2F5AF5"/>
    <w:rsid w:val="5A8D1386"/>
    <w:rsid w:val="5A93303B"/>
    <w:rsid w:val="5ABB6C3C"/>
    <w:rsid w:val="5AFF7905"/>
    <w:rsid w:val="5B1836AE"/>
    <w:rsid w:val="5B492C91"/>
    <w:rsid w:val="5B6B15AA"/>
    <w:rsid w:val="5BAF6495"/>
    <w:rsid w:val="5BF25754"/>
    <w:rsid w:val="5C1E13B0"/>
    <w:rsid w:val="5C662A50"/>
    <w:rsid w:val="5CEA2522"/>
    <w:rsid w:val="5CF2777D"/>
    <w:rsid w:val="5D2708E3"/>
    <w:rsid w:val="5D664D05"/>
    <w:rsid w:val="5D7C584C"/>
    <w:rsid w:val="5D7F0635"/>
    <w:rsid w:val="5D894E7F"/>
    <w:rsid w:val="5D8D080D"/>
    <w:rsid w:val="5DBF6493"/>
    <w:rsid w:val="5E3E4C2D"/>
    <w:rsid w:val="5E5867E1"/>
    <w:rsid w:val="5E874CE8"/>
    <w:rsid w:val="5EB00E5C"/>
    <w:rsid w:val="5ED35331"/>
    <w:rsid w:val="5EE37831"/>
    <w:rsid w:val="5F0A3D5F"/>
    <w:rsid w:val="5F213F68"/>
    <w:rsid w:val="5F2F6349"/>
    <w:rsid w:val="5F600D4E"/>
    <w:rsid w:val="5F956DDF"/>
    <w:rsid w:val="5FA416F1"/>
    <w:rsid w:val="5FD93954"/>
    <w:rsid w:val="5FDC55D3"/>
    <w:rsid w:val="5FF469EE"/>
    <w:rsid w:val="5FFB0094"/>
    <w:rsid w:val="60160416"/>
    <w:rsid w:val="60A62DBA"/>
    <w:rsid w:val="60C03CCF"/>
    <w:rsid w:val="60D42D03"/>
    <w:rsid w:val="60E62C9D"/>
    <w:rsid w:val="61A06374"/>
    <w:rsid w:val="622470A5"/>
    <w:rsid w:val="625D25EA"/>
    <w:rsid w:val="62857C4E"/>
    <w:rsid w:val="6286607D"/>
    <w:rsid w:val="62A62781"/>
    <w:rsid w:val="62E05FC6"/>
    <w:rsid w:val="634B0772"/>
    <w:rsid w:val="636E7A2E"/>
    <w:rsid w:val="63815A2A"/>
    <w:rsid w:val="63C01CBD"/>
    <w:rsid w:val="643F3D04"/>
    <w:rsid w:val="644204E6"/>
    <w:rsid w:val="64635DFB"/>
    <w:rsid w:val="64AF3910"/>
    <w:rsid w:val="64BC2C9E"/>
    <w:rsid w:val="64C626B7"/>
    <w:rsid w:val="65912A7B"/>
    <w:rsid w:val="660E4242"/>
    <w:rsid w:val="662519F4"/>
    <w:rsid w:val="66354951"/>
    <w:rsid w:val="6679092A"/>
    <w:rsid w:val="66BA2385"/>
    <w:rsid w:val="66DB09CF"/>
    <w:rsid w:val="66E96680"/>
    <w:rsid w:val="67237A0F"/>
    <w:rsid w:val="67487CFE"/>
    <w:rsid w:val="677038E2"/>
    <w:rsid w:val="677777A9"/>
    <w:rsid w:val="67B43783"/>
    <w:rsid w:val="67B92A72"/>
    <w:rsid w:val="68233F9E"/>
    <w:rsid w:val="689340A3"/>
    <w:rsid w:val="68DC73EC"/>
    <w:rsid w:val="69293200"/>
    <w:rsid w:val="694347AF"/>
    <w:rsid w:val="694F06EB"/>
    <w:rsid w:val="6963607F"/>
    <w:rsid w:val="69766916"/>
    <w:rsid w:val="698F77F4"/>
    <w:rsid w:val="69B23B9D"/>
    <w:rsid w:val="69E82867"/>
    <w:rsid w:val="6AA159CB"/>
    <w:rsid w:val="6AA26939"/>
    <w:rsid w:val="6AD50437"/>
    <w:rsid w:val="6AE4041A"/>
    <w:rsid w:val="6AEE57CB"/>
    <w:rsid w:val="6B9C69D2"/>
    <w:rsid w:val="6BB104FC"/>
    <w:rsid w:val="6BC75657"/>
    <w:rsid w:val="6BD126F0"/>
    <w:rsid w:val="6BE1773A"/>
    <w:rsid w:val="6BE35659"/>
    <w:rsid w:val="6C2B66F7"/>
    <w:rsid w:val="6C5B64F3"/>
    <w:rsid w:val="6D05726A"/>
    <w:rsid w:val="6D673555"/>
    <w:rsid w:val="6D717C1E"/>
    <w:rsid w:val="6DC267F1"/>
    <w:rsid w:val="6E032FC6"/>
    <w:rsid w:val="6E083615"/>
    <w:rsid w:val="6E0D26B4"/>
    <w:rsid w:val="6E360FB8"/>
    <w:rsid w:val="6E44084F"/>
    <w:rsid w:val="6E6F0BB4"/>
    <w:rsid w:val="6E7A62E4"/>
    <w:rsid w:val="6EB25B0B"/>
    <w:rsid w:val="6EB80BA0"/>
    <w:rsid w:val="6ED37D90"/>
    <w:rsid w:val="6F00046B"/>
    <w:rsid w:val="6F065AB6"/>
    <w:rsid w:val="6F3364F9"/>
    <w:rsid w:val="6F4D0F66"/>
    <w:rsid w:val="6F505503"/>
    <w:rsid w:val="6F57424B"/>
    <w:rsid w:val="6F612830"/>
    <w:rsid w:val="6F9E5543"/>
    <w:rsid w:val="6FD10B10"/>
    <w:rsid w:val="6FE61F22"/>
    <w:rsid w:val="6FFD00DA"/>
    <w:rsid w:val="70352925"/>
    <w:rsid w:val="70505871"/>
    <w:rsid w:val="706B4405"/>
    <w:rsid w:val="70801B07"/>
    <w:rsid w:val="709A7A5C"/>
    <w:rsid w:val="70A1406F"/>
    <w:rsid w:val="715B3C2A"/>
    <w:rsid w:val="71994E64"/>
    <w:rsid w:val="71EE7FB9"/>
    <w:rsid w:val="72536FDC"/>
    <w:rsid w:val="727D75DF"/>
    <w:rsid w:val="72D36E77"/>
    <w:rsid w:val="72FB66FD"/>
    <w:rsid w:val="732872C5"/>
    <w:rsid w:val="73B920B2"/>
    <w:rsid w:val="74085669"/>
    <w:rsid w:val="74412921"/>
    <w:rsid w:val="7475710D"/>
    <w:rsid w:val="747621BD"/>
    <w:rsid w:val="750B356A"/>
    <w:rsid w:val="750C4DDC"/>
    <w:rsid w:val="7510569F"/>
    <w:rsid w:val="756950CA"/>
    <w:rsid w:val="75922EAF"/>
    <w:rsid w:val="75AD28A1"/>
    <w:rsid w:val="760A7D9D"/>
    <w:rsid w:val="763E51CC"/>
    <w:rsid w:val="766026E6"/>
    <w:rsid w:val="76B770A6"/>
    <w:rsid w:val="76CE7275"/>
    <w:rsid w:val="76E4362B"/>
    <w:rsid w:val="770A1659"/>
    <w:rsid w:val="771F60E4"/>
    <w:rsid w:val="782F327E"/>
    <w:rsid w:val="78A06277"/>
    <w:rsid w:val="78C64F8E"/>
    <w:rsid w:val="791A1EB8"/>
    <w:rsid w:val="798E4E1E"/>
    <w:rsid w:val="79A37A59"/>
    <w:rsid w:val="79C61A14"/>
    <w:rsid w:val="7A020CA3"/>
    <w:rsid w:val="7A067805"/>
    <w:rsid w:val="7AA408FA"/>
    <w:rsid w:val="7B123707"/>
    <w:rsid w:val="7B307625"/>
    <w:rsid w:val="7B347CEC"/>
    <w:rsid w:val="7B761608"/>
    <w:rsid w:val="7C105077"/>
    <w:rsid w:val="7C416F95"/>
    <w:rsid w:val="7C4E5B9F"/>
    <w:rsid w:val="7C580760"/>
    <w:rsid w:val="7C9C47E0"/>
    <w:rsid w:val="7C9E070C"/>
    <w:rsid w:val="7CBB152F"/>
    <w:rsid w:val="7D2C343C"/>
    <w:rsid w:val="7E4B1AB3"/>
    <w:rsid w:val="7E58216F"/>
    <w:rsid w:val="7E886BD8"/>
    <w:rsid w:val="7E922F1E"/>
    <w:rsid w:val="7EEF7176"/>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val="0"/>
      <w:numPr>
        <w:ilvl w:val="0"/>
        <w:numId w:val="1"/>
      </w:numPr>
      <w:spacing w:before="240" w:after="60"/>
      <w:outlineLvl w:val="0"/>
    </w:pPr>
    <w:rPr>
      <w:rFonts w:ascii="Arial" w:hAnsi="Arial"/>
      <w:b/>
      <w:bCs/>
      <w:kern w:val="32"/>
      <w:sz w:val="32"/>
      <w:szCs w:val="32"/>
    </w:rPr>
  </w:style>
  <w:style w:type="paragraph" w:styleId="3">
    <w:name w:val="heading 2"/>
    <w:basedOn w:val="2"/>
    <w:next w:val="1"/>
    <w:qFormat/>
    <w:uiPriority w:val="9"/>
    <w:pPr>
      <w:numPr>
        <w:ilvl w:val="1"/>
        <w:numId w:val="2"/>
      </w:numPr>
      <w:pBdr>
        <w:top w:val="none" w:color="auto" w:sz="0" w:space="0"/>
      </w:pBdr>
      <w:spacing w:before="180"/>
      <w:outlineLvl w:val="1"/>
    </w:pPr>
    <w:rPr>
      <w:rFonts w:cs="Times New Roman"/>
      <w:sz w:val="32"/>
      <w:szCs w:val="32"/>
    </w:rPr>
  </w:style>
  <w:style w:type="paragraph" w:styleId="4">
    <w:name w:val="heading 3"/>
    <w:basedOn w:val="1"/>
    <w:next w:val="1"/>
    <w:qFormat/>
    <w:uiPriority w:val="0"/>
    <w:pPr>
      <w:keepNext/>
      <w:numPr>
        <w:ilvl w:val="2"/>
        <w:numId w:val="1"/>
      </w:numPr>
      <w:spacing w:before="240" w:after="60"/>
      <w:ind w:right="100" w:rightChars="100"/>
      <w:outlineLvl w:val="2"/>
    </w:pPr>
    <w:rPr>
      <w:rFonts w:ascii="Arial" w:hAnsi="Arial"/>
      <w:b/>
      <w:bCs/>
      <w:szCs w:val="26"/>
    </w:rPr>
  </w:style>
  <w:style w:type="paragraph" w:styleId="5">
    <w:name w:val="heading 4"/>
    <w:basedOn w:val="4"/>
    <w:next w:val="1"/>
    <w:link w:val="28"/>
    <w:qFormat/>
    <w:uiPriority w:val="9"/>
    <w:pPr>
      <w:numPr>
        <w:ilvl w:val="3"/>
      </w:numPr>
      <w:outlineLvl w:val="3"/>
    </w:pPr>
    <w:rPr>
      <w:i/>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b/>
      <w:bCs/>
    </w:rPr>
  </w:style>
  <w:style w:type="paragraph" w:styleId="7">
    <w:name w:val="annotation text"/>
    <w:basedOn w:val="1"/>
    <w:link w:val="26"/>
    <w:qFormat/>
    <w:uiPriority w:val="99"/>
    <w:pPr>
      <w:jc w:val="left"/>
    </w:pPr>
  </w:style>
  <w:style w:type="paragraph" w:styleId="8">
    <w:name w:val="Body Text"/>
    <w:basedOn w:val="1"/>
    <w:qFormat/>
    <w:uiPriority w:val="0"/>
    <w:pPr>
      <w:spacing w:after="120"/>
      <w:jc w:val="both"/>
    </w:pPr>
  </w:style>
  <w:style w:type="paragraph" w:styleId="9">
    <w:name w:val="footer"/>
    <w:basedOn w:val="1"/>
    <w:link w:val="19"/>
    <w:unhideWhenUsed/>
    <w:qFormat/>
    <w:uiPriority w:val="99"/>
    <w:pPr>
      <w:tabs>
        <w:tab w:val="center" w:pos="4153"/>
        <w:tab w:val="right" w:pos="8306"/>
      </w:tabs>
      <w:snapToGrid w:val="0"/>
      <w:jc w:val="left"/>
    </w:pPr>
    <w:rPr>
      <w:sz w:val="18"/>
      <w:szCs w:val="18"/>
    </w:rPr>
  </w:style>
  <w:style w:type="paragraph" w:styleId="10">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568" w:hanging="284"/>
    </w:pPr>
  </w:style>
  <w:style w:type="paragraph" w:styleId="12">
    <w:name w:val="annotation subject"/>
    <w:basedOn w:val="7"/>
    <w:next w:val="7"/>
    <w:link w:val="27"/>
    <w:semiHidden/>
    <w:unhideWhenUsed/>
    <w:qFormat/>
    <w:uiPriority w:val="99"/>
    <w:rPr>
      <w:b/>
      <w:bCs/>
    </w:rPr>
  </w:style>
  <w:style w:type="table" w:styleId="14">
    <w:name w:val="Table Grid"/>
    <w:basedOn w:val="13"/>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qFormat/>
    <w:uiPriority w:val="99"/>
    <w:rPr>
      <w:color w:val="0000FF"/>
      <w:u w:val="single"/>
    </w:rPr>
  </w:style>
  <w:style w:type="character" w:styleId="17">
    <w:name w:val="annotation reference"/>
    <w:basedOn w:val="15"/>
    <w:qFormat/>
    <w:uiPriority w:val="0"/>
    <w:rPr>
      <w:sz w:val="21"/>
      <w:szCs w:val="21"/>
    </w:rPr>
  </w:style>
  <w:style w:type="character" w:customStyle="1" w:styleId="18">
    <w:name w:val="页眉 字符"/>
    <w:basedOn w:val="15"/>
    <w:link w:val="10"/>
    <w:qFormat/>
    <w:uiPriority w:val="99"/>
    <w:rPr>
      <w:sz w:val="18"/>
      <w:szCs w:val="18"/>
    </w:rPr>
  </w:style>
  <w:style w:type="character" w:customStyle="1" w:styleId="19">
    <w:name w:val="页脚 字符"/>
    <w:basedOn w:val="15"/>
    <w:link w:val="9"/>
    <w:qFormat/>
    <w:uiPriority w:val="99"/>
    <w:rPr>
      <w:sz w:val="18"/>
      <w:szCs w:val="18"/>
    </w:rPr>
  </w:style>
  <w:style w:type="paragraph" w:customStyle="1" w:styleId="20">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1">
    <w:name w:val="TF"/>
    <w:basedOn w:val="20"/>
    <w:qFormat/>
    <w:uiPriority w:val="0"/>
    <w:pPr>
      <w:keepNext w:val="0"/>
      <w:spacing w:before="0" w:after="240"/>
    </w:pPr>
  </w:style>
  <w:style w:type="paragraph" w:styleId="22">
    <w:name w:val="List Paragraph"/>
    <w:basedOn w:val="1"/>
    <w:qFormat/>
    <w:uiPriority w:val="34"/>
    <w:pPr>
      <w:ind w:firstLine="420" w:firstLineChars="200"/>
    </w:pPr>
  </w:style>
  <w:style w:type="paragraph" w:customStyle="1" w:styleId="23">
    <w:name w:val="B1"/>
    <w:basedOn w:val="11"/>
    <w:qFormat/>
    <w:uiPriority w:val="0"/>
  </w:style>
  <w:style w:type="paragraph" w:customStyle="1" w:styleId="24">
    <w:name w:val="Doc-text2"/>
    <w:basedOn w:val="1"/>
    <w:qFormat/>
    <w:uiPriority w:val="0"/>
    <w:pPr>
      <w:tabs>
        <w:tab w:val="left" w:pos="1622"/>
      </w:tabs>
      <w:ind w:left="1622" w:hanging="363"/>
      <w:jc w:val="left"/>
    </w:pPr>
    <w:rPr>
      <w:rFonts w:eastAsia="MS Mincho"/>
      <w:szCs w:val="24"/>
    </w:rPr>
  </w:style>
  <w:style w:type="paragraph" w:customStyle="1" w:styleId="25">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6">
    <w:name w:val="批注文字 字符"/>
    <w:basedOn w:val="15"/>
    <w:link w:val="7"/>
    <w:qFormat/>
    <w:uiPriority w:val="99"/>
    <w:rPr>
      <w:kern w:val="2"/>
      <w:sz w:val="21"/>
      <w:szCs w:val="22"/>
    </w:rPr>
  </w:style>
  <w:style w:type="character" w:customStyle="1" w:styleId="27">
    <w:name w:val="批注主题 字符"/>
    <w:basedOn w:val="26"/>
    <w:link w:val="12"/>
    <w:semiHidden/>
    <w:qFormat/>
    <w:uiPriority w:val="99"/>
    <w:rPr>
      <w:b/>
      <w:bCs/>
      <w:kern w:val="2"/>
      <w:sz w:val="21"/>
      <w:szCs w:val="22"/>
    </w:rPr>
  </w:style>
  <w:style w:type="character" w:customStyle="1" w:styleId="28">
    <w:name w:val="标题 4 字符2"/>
    <w:link w:val="5"/>
    <w:qFormat/>
    <w:uiPriority w:val="9"/>
    <w:rPr>
      <w:i/>
    </w:rPr>
  </w:style>
  <w:style w:type="paragraph" w:customStyle="1" w:styleId="29">
    <w:name w:val="Style Heading 1H1h1app heading 1l1Memo Heading 1h11h12h13h..."/>
    <w:basedOn w:val="2"/>
    <w:qFormat/>
    <w:uiPriority w:val="99"/>
    <w:pPr>
      <w:numPr>
        <w:numId w:val="3"/>
      </w:numPr>
    </w:pPr>
    <w:rPr>
      <w:rFonts w:ascii="Helvetica" w:hAnsi="Helvetica" w:eastAsia="Times New Roman"/>
      <w:sz w:val="28"/>
      <w:szCs w:val="20"/>
      <w:lang w:val="en-US"/>
    </w:rPr>
  </w:style>
  <w:style w:type="paragraph" w:customStyle="1" w:styleId="30">
    <w:name w:val="Comments"/>
    <w:basedOn w:val="1"/>
    <w:qFormat/>
    <w:uiPriority w:val="0"/>
    <w:rPr>
      <w:i/>
      <w:sz w:val="18"/>
    </w:rPr>
  </w:style>
  <w:style w:type="paragraph" w:customStyle="1" w:styleId="31">
    <w:name w:val="Agreement"/>
    <w:basedOn w:val="1"/>
    <w:next w:val="24"/>
    <w:qFormat/>
    <w:uiPriority w:val="0"/>
    <w:pPr>
      <w:numPr>
        <w:ilvl w:val="0"/>
        <w:numId w:val="4"/>
      </w:numPr>
      <w:tabs>
        <w:tab w:val="left" w:pos="1619"/>
        <w:tab w:val="clear" w:pos="1352"/>
      </w:tabs>
      <w:spacing w:before="60"/>
      <w:ind w:left="1619"/>
    </w:pPr>
    <w:rPr>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2327</Words>
  <Characters>13269</Characters>
  <Lines>110</Lines>
  <Paragraphs>31</Paragraphs>
  <TotalTime>8</TotalTime>
  <ScaleCrop>false</ScaleCrop>
  <LinksUpToDate>false</LinksUpToDate>
  <CharactersWithSpaces>15565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2023-04-07T08:52:51Z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CB0883EBE25E4BCD90A10BF1A1A988E9</vt:lpwstr>
  </property>
</Properties>
</file>